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-</w:t>
      </w:r>
    </w:p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28 czerwca 2018r.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ŻG.8361.37.2019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103/2019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art. 40a ust. 1 pkt 3,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(tekst jednolity: Dz. U. z 2018r.,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 2096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po przeprowadzeniu postępowania administracyjnego, Świętokrzyski Wojewódzki Inspektor Inspekcji Handlowej wymierza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KIZIL-ELMA Spółka z ograniczoną odpowiedzialnością z siedzibą w Kielcach, ul. Ignacego Paderewskiego 27, 25-017 Kielce:</w:t>
      </w:r>
    </w:p>
    <w:p>
      <w:pPr>
        <w:pStyle w:val="ListParagraph"/>
        <w:numPr>
          <w:ilvl w:val="0"/>
          <w:numId w:val="2"/>
        </w:numPr>
        <w:spacing w:lineRule="auto" w:line="360"/>
        <w:ind w:left="0" w:hanging="11"/>
        <w:jc w:val="both"/>
        <w:rPr>
          <w:rFonts w:ascii="Times New Roman" w:hAnsi="Times New Roman" w:eastAsia="Times New Roman" w:cs="Times New Roman"/>
          <w:szCs w:val="24"/>
          <w:lang w:eastAsia="pl-PL" w:bidi="ar-SA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  <w:t xml:space="preserve">karę pieniężną w wysokości 1000 zł </w:t>
      </w:r>
      <w:r>
        <w:rPr>
          <w:rFonts w:cs="Times New Roman" w:ascii="Times New Roman" w:hAnsi="Times New Roman"/>
          <w:szCs w:val="24"/>
        </w:rPr>
        <w:t>(słownie: jeden tysiąc złotych) określona na podstawie art. 40a ust. 1 pkt 4 ww.</w:t>
      </w: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i/>
          <w:szCs w:val="24"/>
        </w:rPr>
        <w:t xml:space="preserve">ustawy o jakości handlowej artykułów rolno-spożywczych </w:t>
      </w:r>
      <w:r>
        <w:rPr>
          <w:rFonts w:cs="Times New Roman" w:ascii="Times New Roman" w:hAnsi="Times New Roman"/>
          <w:b/>
          <w:szCs w:val="24"/>
        </w:rPr>
        <w:t xml:space="preserve">- </w:t>
      </w:r>
      <w:r>
        <w:rPr>
          <w:rFonts w:cs="Times New Roman" w:ascii="Times New Roman" w:hAnsi="Times New Roman"/>
          <w:szCs w:val="24"/>
        </w:rPr>
        <w:t xml:space="preserve">z tytułu wprowadzenia do obrotu </w:t>
      </w:r>
      <w:r>
        <w:rPr>
          <w:rFonts w:eastAsia="Times New Roman" w:cs="Times New Roman" w:ascii="Times New Roman" w:hAnsi="Times New Roman"/>
          <w:szCs w:val="24"/>
          <w:lang w:eastAsia="pl-PL" w:bidi="ar-SA"/>
        </w:rPr>
        <w:t>8</w:t>
      </w:r>
      <w:r>
        <w:rPr>
          <w:rFonts w:cs="Times New Roman" w:ascii="Times New Roman" w:hAnsi="Times New Roman"/>
          <w:szCs w:val="24"/>
        </w:rPr>
        <w:t xml:space="preserve"> partii zafałszowanych wyrobów kulinarnych tj. </w:t>
      </w:r>
      <w:r>
        <w:rPr>
          <w:rFonts w:eastAsia="Times New Roman" w:cs="Times New Roman" w:ascii="Times New Roman" w:hAnsi="Times New Roman"/>
          <w:szCs w:val="24"/>
        </w:rPr>
        <w:t>Danie z baraniny, Danie XL z baraniny, Cienki z baraniny, Cienki XL z baraniny, Bułka z baraniny, Bułka XL z baraniny, Tortilla z baraniny, Tortilla XL z baraniny;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ind w:left="0" w:hanging="11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u w:val="single"/>
          <w:lang w:eastAsia="zh-CN" w:bidi="hi-IN"/>
        </w:rPr>
        <w:t>karę pieniężną w wysokości 500 zł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(słownie: pięćset złotych) określona na podstawie art. 40a ust. 1 pkt 3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 jakości handlowej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artykułów rolno-spożywczych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–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 tytułu wprowadzenia do obrotu partii produktu o niewłaściwej jakości handlowej tj.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Nektar morelowy, w puszce a’330ml.</w:t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19 – 20 lutego 2019r.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ŻG.8361.37.2019 z dnia 18 lutego 2019r., inspektorzy Wojewódzkiego Inspektoratu Inspekcji Handlowej w Kielcach dokonali kontroli przedsiębiorcy: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KIZIL-ELMA Spółka z ograniczoną odpowiedzialnością z siedzibą w Kielcach - zwanego dalej „Stroną, Spółką, przedsiębiorcą”, w placówce handlowej: Istambuł Turecki Grill Kebab w Kielcach przy ul. Paderewskiego 27</w:t>
      </w:r>
      <w:r>
        <w:rPr>
          <w:rFonts w:cs="Times New Roman" w:ascii="Times New Roman" w:hAnsi="Times New Roman"/>
          <w:bCs/>
          <w:sz w:val="24"/>
          <w:szCs w:val="24"/>
        </w:rPr>
        <w:t>.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(t. j.: Dz. U. 2018r. poz. 1930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(t. j.: Dz. U.  2018r. poz. 2164)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osoby pisemnie upoważnionej do reprezentowania przedsiębiorcy.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celu sprawdzenia rzetelności sprzedawanych potraw inspektorzy Wojewódzkiego Inspektoratu Inspekcji Handlowej w Kielcach – zwanego dalej „WIIH w Kielcach”, występując w charakterze konsumentów w dniu 19 lutego 2019r., w placówce handlowej</w:t>
      </w:r>
      <w:r>
        <w:rPr>
          <w:rFonts w:cs="Times New Roman" w:ascii="Times New Roman" w:hAnsi="Times New Roman"/>
          <w:bCs/>
          <w:sz w:val="24"/>
          <w:szCs w:val="24"/>
        </w:rPr>
        <w:t xml:space="preserve"> Istambuł Turecki Grill Kebab w Kielcach przy ul. Paderewskiego 27</w:t>
      </w:r>
      <w:r>
        <w:rPr>
          <w:rFonts w:cs="Times New Roman" w:ascii="Times New Roman" w:hAnsi="Times New Roman"/>
        </w:rPr>
        <w:t xml:space="preserve"> - </w:t>
      </w:r>
      <w:r>
        <w:rPr>
          <w:rFonts w:cs="Times New Roman" w:ascii="Times New Roman" w:hAnsi="Times New Roman"/>
          <w:bCs/>
          <w:sz w:val="24"/>
          <w:szCs w:val="24"/>
        </w:rPr>
        <w:t>po zapoznaniu się z ofertą zamieszczoną w cenniku na ścianie w lokalu, nad kasą, zamówili 2 porcje „Dania z baraniny” w cenie 17,00zł/porcja na wynos.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ab/>
        <w:t>Po otrzymaniu ww. zamówienia inspektorzy ujawnili swój charakter służbowy i dokonali dalszych czynności kontrolnych. Ustalono, że kontrolowana placówka jest restauracją turecką oferującą dania przygotowywane w całości na miejscu z mrożonych półproduktów oraz świeżych składników. Cennik w obecnej postaci obowiązuje od początku prowadzenia działalności, tj. od 2,5 miesiąca. Wydruki zdjęć cennika załączono do akt sprawy.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Następnie stwierdzono, że w placówce handlowej znajdowały się trzy grille, z dwoma rodzajami mięsa. Osoba upoważniona do reprezentowania przedsiębiorcy przedstawiła etykiety z opakowań tych mięs oraz dowody ich dostaw (Faktura Nr 7/BR/19 z dn. 14-02-2019r oraz Faktury Nr 17/2/19FV z dn. 07-02-2019r., Faktura Nr 84/1/19FV z dn. 24-01-2019, Faktura Nr 53/1/19FV z dn. 17-01-2019, Faktura Nr 33/1/19FV i Faktura Nr 2/1/19FV). Kopie okazanych faktur zostały załączone do akt sprawy.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Inspektorzy ustalili, że na grillu znajdowały się następujące produkty: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- „Kebab mielony – produkt głęboko mrożony a’20kg” - zamrożone dnia 12/02/19 i datą minimalnej trwałości 12/08/20 znajdujący się dodatkowo w zamrażarce w ilości 6 szt., produkcji Nazar Sp. z o.o., Sp. k., Leźno 59, 80-298 Gdańsk, z podanymi w składzie rodzajami mięsa: mięso wołowe (43%), łój wołowy (20%), mięso z kurczaka (14%), mięso wołowe w plastrach (12%), mięso indycze (6%) i innymi dodatkami;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- „Kebab cały kurczak – produkt głęboko mrożony a’20kg” - zamrożone dnia 16/01/19 i datą minimalnej trwałości 16/07/20 znajdujący się ponadto w zamrażarce w ilości 5szt., produkcji Nazar Sp. z o.o., Sp. k., Leźno 59, 80-298 Gdańsk, z podanym w składzie mięsem z kurczaka 79% oraz innymi dodatkami.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Na stanie placówki, w kuchni oraz magazynach brak było baraniny lub półproduktu zawierającego baraninę w składzie. Nie przedstawiono również żadnego dokumentu potwierdzającego zakup przez przedsiębiorcę baraniny lub półproduktu z dodatkiem mięsa baraniego, natomiast zgodnie z cennikiem, w ofercie lokalu znajdowały się następujące wyroby kulinarne „z baraniny”: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1. Danie z baraniny– w cenie 17zł/porcja, (będące przedmiotem zakupu kontrolnego w ilości 2 porcji, wartości 34zł);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2.Danie XL z baraniny – w cenie 20zł/porcja;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3. Cienki z baraniny – w cenie 10zł/porcja;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4. Cienki XL z baraniny – w cenie 13zł/porcja;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5. Bułka z baraniny – w cenie 11zł/porcja,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6. Bułka XL z baraniny – w cenie 14zł/porcja;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7. Tortilla z baraniny – w cenie 12zł/porcja;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8. Tortilla XL z baraniny – w cenie 15zł/porcja.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Na powyższą okoliczność osoba upoważniona do reprezentowania przedsiębiorcy złożyła pisemne oświadczenie, w którym</w:t>
      </w:r>
      <w:r>
        <w:rPr>
          <w:rFonts w:cs="Times New Roman" w:ascii="Times New Roman" w:hAnsi="Times New Roma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wyjaśniła, że lokal prowadzony jest od 2,5 miesiąca i został odkupiony wraz z cennikiem i asortymentem. Z uwagi na brak dobrej znajomości języka polskiego przedsiębiorca nie dostrzegł od razu wykazanych nieprawidłowości. Gdy tylko dowiedział się, że w składzie zamawianych do lokalu kebabów nie ma baraniny, a głównym składnikiem jest wołowina zamówił nowy cennik, z poprawionymi nazwami.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Pisemne oświadczenie przedsiębiorcy jak również projektu nowego cennika zostały załączone do akt sprawy.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Oferowanie w cenniku dań obiadowych „z baraniną” podczas gdy do ich przygotowania używany jest półprodukt z mięsa wołowo-drobiowego wprowadza konsumentów w błąd co do rodzaju zamawianego produktu i narusza wymagania zawarte w art. 7 ust.1 lit. a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Parlamentu Europejskiego i Rady (WE)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Komisji (WE) nr 608/2004 (Dz. U. L 304 z 22.11.2011, s. 18 z późn. zm.) oraz art 16.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178/2002 Parlamentu Europejskiego i Rady z dnia 20 stycznia 2002 r. ustanawiające ogólne zasady i wymagania prawa żywnościowego, powołujące Europejski Urząd ds. Bezpieczeństwa Żywności oraz ustanawiające procedury w zakresie bezpieczeństwa żywności (Dz.U. L 31 z 01.02.2002, str. 1,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 - zwanego dalej 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rozporządzeniem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 i świadczy o zafałszowaniu tych produktów, w przedmiotowej sprawie - wyrobów kulinarnych.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 toku czynności kontrolnych dokonano również sprawdzenia prawidłowości oznakowania i sposobu prezentacji wymienionych wyżej 8 partii wyrobów kulinarnych oraz losowo wybranego napoju tj.: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- Nektar morelowy, w puszce a’330ml e, „Turtamek”, w ilości 25 puszek, w cenie sprzedaży 4,00zł/puszka, wartości 100,00zł, produced in Turkey, „termin przydatności do spożycia” 25.12.19; Składniki: woda, koncentrat z morelowego puree, cukier, regulator kwasowości (kwas cytrynowy). Zawartość owoców min 40%, dostarczony do placówki za Fakturą Nr 53/1/19FV z dn. 17-01-2019. Zdjęcia etykiety zostały załączone do akt sprawy.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 wyniku dokonanego sprawdzenia zakwestionowano oznakowanie wszystkich ww. 8 partii wyrobów kulinarnych oraz oznakowanie ww. nektaru.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Oceniane partie produktów zostały wprowadzone do obrotu z naruszeniem przepisów:</w:t>
      </w:r>
    </w:p>
    <w:p>
      <w:pPr>
        <w:pStyle w:val="Normal"/>
        <w:widowControl w:val="false"/>
        <w:tabs>
          <w:tab w:val="left" w:pos="855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 w:bidi="hi-IN"/>
        </w:rPr>
        <w:t>§ 19 ust. 1 pkt. 1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 w:bidi="hi-IN"/>
        </w:rPr>
        <w:t xml:space="preserve"> Rozporządzenia Ministra Rolnictwa i Rozwoju Wsi z dnia 23 grudnia 2014r. w sprawie znakowania poszczególnych rodzajów środków spożywczych (Dz. U. z 2015r. poz. 29, z późn. zm.)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- ze względu na zastosowanie nazw w sposób niezgodny z </w:t>
      </w:r>
      <w:bookmarkStart w:id="0" w:name="_Hlk6994263"/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art. 17 ust.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 w:bidi="hi-IN"/>
        </w:rPr>
        <w:t>rozporządzenia 1169/2011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tj. brak wskazania na charakter i rodzaj produktu – dotyczy 8 partii wyrobów kulinarnych (Danie z baraniny, Danie XL z baraniny, Cienki z baraniny, Cienki XL z baraniny, Bułka z baraniny, Bułka XL z baraniny, Tortilla z baraniny, Tortilla XL z baraniny);</w:t>
      </w:r>
    </w:p>
    <w:p>
      <w:pPr>
        <w:pStyle w:val="Normal"/>
        <w:widowControl w:val="false"/>
        <w:tabs>
          <w:tab w:val="left" w:pos="855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 w:bidi="hi-IN"/>
        </w:rPr>
        <w:t>- § 19 ust. 1 pkt 3 i ust. 2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– ww.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 w:bidi="hi-IN"/>
        </w:rPr>
        <w:t>rozporządzenia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 w:bidi="hi-IN"/>
        </w:rPr>
        <w:t xml:space="preserve">w sprawie znakowania poszczególnych rodzajów środków spożywczych –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z uwagi na brak podania w cenniku lub innym miejscu bezpośrednio dostępnym konsumentom informacji o wykazie składników z wyszczególnieniem substancji lub produktów powodujących alergie lub reakcje nietolerancji - dotyczy 8 partii wyrobów kulinarnych (Danie z baraniny, Danie XL z baraniny, Cienki z baraniny, Cienki XL z baraniny, Bułka z baraniny, Bułka XL z baraniny, Tortilla z baraniny, Tortilla XL z baraniny);</w:t>
      </w:r>
    </w:p>
    <w:p>
      <w:pPr>
        <w:pStyle w:val="Normal"/>
        <w:tabs>
          <w:tab w:val="left" w:pos="567" w:leader="none"/>
        </w:tabs>
        <w:suppressAutoHyphens w:val="true"/>
        <w:overflowPunct w:val="true"/>
        <w:spacing w:lineRule="auto" w:line="360" w:before="0" w:after="0"/>
        <w:ind w:firstLine="1"/>
        <w:jc w:val="both"/>
        <w:textAlignment w:val="baseline"/>
        <w:rPr>
          <w:rFonts w:ascii="Times New Roman" w:hAnsi="Times New Roman" w:eastAsia="SimSun-ExtB" w:cs="Times New Roman"/>
          <w:bCs/>
          <w:sz w:val="24"/>
          <w:szCs w:val="24"/>
          <w:lang w:eastAsia="ar-SA"/>
        </w:rPr>
      </w:pPr>
      <w:r>
        <w:rPr>
          <w:rFonts w:eastAsia="SimSun-ExtB" w:cs="Times New Roman" w:ascii="Times New Roman" w:hAnsi="Times New Roman"/>
          <w:b/>
          <w:bCs/>
          <w:sz w:val="24"/>
          <w:szCs w:val="24"/>
          <w:lang w:eastAsia="ar-SA"/>
        </w:rPr>
        <w:t xml:space="preserve">- art. 9 ust. 1 lit. h) </w:t>
      </w:r>
      <w:r>
        <w:rPr>
          <w:rFonts w:eastAsia="SimSun-ExtB" w:cs="Times New Roman" w:ascii="Times New Roman" w:hAnsi="Times New Roman"/>
          <w:bCs/>
          <w:i/>
          <w:sz w:val="24"/>
          <w:szCs w:val="24"/>
          <w:lang w:eastAsia="ar-SA"/>
        </w:rPr>
        <w:t>rozporządzenia nr 1169/2011</w:t>
      </w:r>
      <w:r>
        <w:rPr>
          <w:rFonts w:eastAsia="SimSun-ExtB" w:cs="Times New Roman" w:ascii="Times New Roman" w:hAnsi="Times New Roman"/>
          <w:bCs/>
          <w:sz w:val="24"/>
          <w:szCs w:val="24"/>
          <w:lang w:eastAsia="ar-SA"/>
        </w:rPr>
        <w:t xml:space="preserve"> – z uwagi na brak podania w oznakowaniu produktu nazwy i danych adresowych importera – dotyczy nektaru;</w:t>
      </w:r>
    </w:p>
    <w:p>
      <w:pPr>
        <w:pStyle w:val="Normal"/>
        <w:tabs>
          <w:tab w:val="left" w:pos="567" w:leader="none"/>
        </w:tabs>
        <w:suppressAutoHyphens w:val="true"/>
        <w:overflowPunct w:val="true"/>
        <w:spacing w:lineRule="auto" w:line="360" w:before="0" w:after="0"/>
        <w:ind w:firstLine="1"/>
        <w:jc w:val="both"/>
        <w:textAlignment w:val="baseline"/>
        <w:rPr>
          <w:rFonts w:ascii="Times New Roman" w:hAnsi="Times New Roman" w:eastAsia="SimSun-ExtB" w:cs="Times New Roman"/>
          <w:bCs/>
          <w:sz w:val="24"/>
          <w:szCs w:val="24"/>
          <w:lang w:eastAsia="ar-SA"/>
        </w:rPr>
      </w:pPr>
      <w:r>
        <w:rPr>
          <w:rFonts w:eastAsia="SimSun-ExtB" w:cs="Times New Roman" w:ascii="Times New Roman" w:hAnsi="Times New Roman"/>
          <w:b/>
          <w:bCs/>
          <w:sz w:val="24"/>
          <w:szCs w:val="24"/>
          <w:lang w:eastAsia="ar-SA"/>
        </w:rPr>
        <w:t>- art. 15 ust. 1</w:t>
      </w:r>
      <w:r>
        <w:rPr>
          <w:rFonts w:eastAsia="SimSun-ExtB" w:cs="Times New Roman"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eastAsia="SimSun-ExtB" w:cs="Times New Roman" w:ascii="Times New Roman" w:hAnsi="Times New Roman"/>
          <w:bCs/>
          <w:i/>
          <w:sz w:val="24"/>
          <w:szCs w:val="24"/>
          <w:lang w:eastAsia="ar-SA"/>
        </w:rPr>
        <w:t>rozporządzenia nr 1169/2011</w:t>
      </w:r>
      <w:r>
        <w:rPr>
          <w:rFonts w:eastAsia="SimSun-ExtB" w:cs="Times New Roman" w:ascii="Times New Roman" w:hAnsi="Times New Roman"/>
          <w:bCs/>
          <w:sz w:val="24"/>
          <w:szCs w:val="24"/>
          <w:lang w:eastAsia="ar-SA"/>
        </w:rPr>
        <w:t xml:space="preserve"> – z uwagi na brak podania w języku polskim informacji o warunkach przechowywania oraz o wartości odżywczej, wymaganych w art. 9 ust. 1 lit. g i l – dotyczy nektaru.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ŻG.8361.37.2019, który został podpisany w dniu 20 lutego 2019r. Przedsiębiorca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KIZIL-ELMA Spółka z ograniczoną odpowiedzialnością z siedzibą w Kielcach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 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 xml:space="preserve">W trybie art. 33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ŚWIIH skierował do kontrolowanego przedsiębiorcy (pismo z dnia 4 marca 2019r.) wystąpienie pokontrolne informujące o stwierdzonych nieprawidłowościach.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 xml:space="preserve">Wobec powyższego,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pismem z dnia 23 kwietnia 2019r. ŚWIIH zawiadomił przedsiębiorcę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KIZIL-ELMA Spółka z ograniczoną odpowiedzialnością z siedzibą w Kielcach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o wszczęciu postępowania administracyjnego w przedmiocie wymierzenia kary pieniężnej określonej na zasadach przyjętych w art. 40a ust. 1 pkt 3 i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 tytułu wprowadzenia do obrotu handlowego 8 partii zafałszowanych wyrobów kulinarnych oraz partii napoju niespełniającego wymagań jakości handlowej. ŚWIIH ww. piśmie poinformował przedsiębiorcę o przysługującym prawie wypowiadania się co do zebranych w sprawie dowodów i materiałów oraz o możliwości zapoznania się z aktami sprawy, jak również wezwał stronę do złożenia oświadczenia dotyczącego wysokości osiąganych obrotów oraz przychodu w ostatnim roku rozliczeniowym. Przedmiotowe pismo zostało odebrane przez przedsiębiorcę w dniu 2 maja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uprawnień, nie złożyła również oświadczenia o osiągniętym przychodzie i obrotach uzyskanych w ostatnim roku rozliczeniowym.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Świętokrzyski Wojewódzki Inspektor Inspekcji Handlowej uznając zgromadzony materiał za kompletny, pismem z dnia 28 maja 2019r. (doręczenie 3 czerwca 2019r.) zawiadomił przedsiębiorcę o zakończeniu postępowania administracyjnego jak również poinformował stronę o przysługującym prawie do zapoznania się z aktami sprawy a także do wypowiedzenia się co do wszystkich zebranych dowodów i materiałów.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skorzystała z przysługujących jej uprawnień, w taki sposób, że w dniu 7 czerwca 2019 r. złożyła oświadczenie o podjętych działaniach naprawczych, oświadczyła, że nie kwestionuje ustaleń poczynionych w toku kontroli. Spółka zwróciła się również o odstąpienie od wymierzenia kary z uwagi na bardzo krótki okres prowadzenia działalności gospodarczej. W załączeniu do rzeczonego oświadczenia przedstawiła poprawione menu.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przedstawiła informacji o osiągniętym przychodzie  oraz obrotach w ostatnim roku rozliczeniowym.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17 ust.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178/2002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w art. 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wprowadzane do obrotu artykuły rolno-spożywcze powinny spełniać wymagania w zakresie jakości handlowej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art. 3 pkt 5 ustawy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jakość handlową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należy rozumieć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prezentacji i oznakowania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Natomiast zgodnie z art. 3 pkt 10 ww. ustawy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artykuł rolno-spożywczy zafałszowany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art. 16 </w:t>
      </w:r>
      <w:r>
        <w:rPr>
          <w:rFonts w:eastAsia="SimSun" w:cs="Times New Roman" w:ascii="Times New Roman" w:hAnsi="Times New Roman"/>
          <w:b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nie może wprowadzać konsumentów w błąd.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Wymagania szczególne jakości handlowej w zakresie oznakowania i prezentacji żywności zostały określone w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rozporządzeniu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art. 7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Cs/>
          <w:sz w:val="24"/>
          <w:szCs w:val="24"/>
          <w:lang w:eastAsia="zh-CN" w:bidi="hi-IN"/>
        </w:rPr>
        <w:t>tego rozporządzenia: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Informacje na temat żywności nie mogą wprowadzać w błąd, w szczególności: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co do właściwości środka spożywczego, a w szczególności co do jego charakteru, tożsamości, właściwości, składu, ilości, trwałości, kraju lub miejsca pochodzenia, metod wytwarzania lub produkcji;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przez przypisywanie środkowi spożywczemu działania lub właściwości, których on nie posiada;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przez sugerowanie, że środek spożywczy ma szczególne właściwości, gdy w rzeczywistości wszystkie podobne środki spożywcze mają takie właściwości, zwłaszcza przez szczególne podkreślanie obecności lub braku określonych składników lub składników odżywczych;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przez sugerowanie poprzez wygląd, opis lub prezentacje graficzne, że chodzi o określony środek spożywczy lub składnik, mimo że w rzeczywistości komponent lub składnik naturalnie obecny lub zwykle stosowany w danym środku spożywczym został zastąpiony innym komponentem lub innym składnikiem.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Informacje na temat żywności muszą być rzetelne, jasne i łatwe do zrozumienia dla konsumenta.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 zastrzeżeniem odstępstw przewidzianych w prawie Unii mającym zastosowanie do naturalnych wód mineralnych i żywności specjalnego przeznaczenia żywieniowego informacje na temat żywności nie mogą przypisywać jakiemukolwiek środkowi spożywczemu właściwości zapobiegania chorobom lub leczenia chorób ludzi bądź też odwoływać się do takich właściwości.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Ust. 1, 2 i 3 mają również zastosowanie do: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reklamy;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prezentacji środków spożywczych, w szczególności kształtu, wyglądu lub opakowania, zastosowanych materiałów opakowaniowych, sposobu ustawienia oraz otoczenia, w jakim są pokazywane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Natomiast odnośnie zakwestionowanego oznakowania napoju, należy przytoczyć następujące przepisy: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Art. 9 ust. 1 lit. 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rozporządzenia 1169/2011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zgodnie z art. 10-35 tego rozporządzenia, z zastrzeżeniem określonych w niniejszym rozdziale wyjątków obowiązkowe jest podanie danych szczegółowych w zakresie nazwy lub firmy i adresu podmiotu działającego na rynku spożywczym (podmiotu, pod którego nazwą lub firma jest wprowadzany na rynek dany środek spożywczy lub jeżeli ten podmiot nie prowadzi działalności w Unii – importer danego środka na rynek Unii).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Art. 15 ust.1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rozporządzenia 1169/2011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bez uszczerbku dla art. 9 ust. 3 obowiązkowe informacje na temat żywności muszą być podawane w języku łatwo zrozumiałym dla konsumentów z państw członkowskich, w których dany środek spożywczy jest wprowadzany na rynek.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Ponadto w toku czynności kontrolnych, inspektorzy zakwestionowali prezentację wszystkich ocenianych partii wyrobów kulinarnych z uwagi na brak wskazania w nazwie na charakter i rodzaj produktu oraz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z uwagi na brak podania w cenniku lub innym miejscu bezpośrednio dostępnym konsumentom informacji o wykazie składników z wyszczególnieniem substancji lub produktów powodujących alergie lub reakcje nietolerancji. W tym zakresie należy przytoczyć następujące przepisy prawne: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zgodnie z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art. 44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ww. rozporządzenia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 przekazanie danych szczegółowych określonych w art. 9 ust. 1 lit. c) jest obowiązkowe;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Państwa członkowskie mogą przyjmować przepisy krajowe dotyczące sposobu udostępniania danych szczegółowych lub elementów danych szczegółowych, o których mowa powyżej oraz – w stosownych przypadkach - form ich wyrażania i prezentacji.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Mając na uwadze powyższe, przepisy krajowe odnośnie szczególnych wymagań jakości handlowej w zakresie oznakowania środków spożywczych zostały określone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w § 19 ust. 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rozporządzenie w sprawie znakowania poszczególnych rodzajów środków spożywczych, tj.: w 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podaje się: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1) nazwę środka spożywczego wskazaną w sposób określony w art. 17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1169/2011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2) nazwę albo imię i nazwisko producenta;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3) wykaz składników – zgodnie z art. 18–20 rozporządzenia nr 1169/2011, z uwzględnieniem informacji, o których mowa w art. 21 tego rozporządzenia;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6) w przypadku pieczywa – dodatkowo: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 masę jednostkową,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b) informację „pieczywo produkowane z ciasta mrożonego” albo „pieczywo produkowane z ciasta głęboko mrożonego”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gdy został zastosowany taki proces technologiczny.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Przepis ust. 2 w/w rozporządzenia stanowi, iż informacje, o których mowa w ust. 1, podaje się w miejscu sprzedaży na wywieszce dotyczącej danego środka spożywczego lub w inny sposób, w miejscu dostępnym bezpośrednio konsumentowi finalnemu.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załączniku II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do rozporządzenia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ustawodawca określił katalog substancji lub produktów powodujących alergie lub reakcje nietolerancji, które zgodnie z ww. przepisami powinny być wyróżnione w sporządzonym wykazie składników poszczególnych artykułów rolno – spożywczych, w przedmiotowej sprawie wyrobów kulinarnych.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Odnosząc się do wyżej przytoczonych przepisów prawa, po dokładnej analizie wykrytych nieprawidłowości należy stwierdzić, że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nabyte w drodze zakupu kontrolnego wyroby kulinarne 2 porcje „Dania z baraniną” oraz wszystkie dania oferowane w dniu kontroli z baraniną w swoim składzie nie zawierały deklarowanej baraniny. Zamiast mięsa baraniego do wyrobu dań stosowano „Kebab mielony” w skład którego wchodziło: mięso wołowe (43%), łój wołowy (20%), mięso z kurczaka (14%), mięso wołowe w plastrach (12%), mięso indycze (6%) i innymi dodatkami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Powyższe świadczy o zafałszowaniu oferowanych do sprzedaży ww. wyrobów kulinarnych.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Ponadto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nieprawidłowe oznakowanie wszystkich ocenianych 8 partii wyrobów kulinarnych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– z uwagi na brak informacji o wykazie składników, w tym o składnikach alergennych obecnych w gotowych produktach, brak rzetelnych informacji w zakresie nazw oferowanych do sprzedaży wyrobów jak również nieprawidłowe oznakowanie nektaru morelowego - stanowi niedopełnienie obowiązku zapewniania zgodności oferowanych wyrobów kulinarnych z wymogami jakości handlowej.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szystkie oceniane 8 partii wyrobów kulinarnych były niewłaściwej jakości handlowej i jednocześnie nosiły znamiona zafałszowania, w związku z tym ŚWIIH zakwalifikował wszystkie jako produkty zafałszowane i zastosował do nich jeden wymiar kary, określony w art. 40a ust. 1 pkt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Zgodnie z art. 40a ust. 1 pkt 3 </w:t>
      </w:r>
      <w:r>
        <w:rPr>
          <w:rFonts w:eastAsia="SimSun" w:cs="Times New Roman" w:ascii="Times New Roman" w:hAnsi="Times New Roman"/>
          <w:b/>
          <w:i/>
          <w:sz w:val="24"/>
          <w:szCs w:val="24"/>
          <w:lang w:eastAsia="zh-CN" w:bidi="hi-IN"/>
        </w:rPr>
        <w:t>ustawy o jakości handlowej,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Natomiast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suppressAutoHyphens w:val="true"/>
        <w:overflowPunct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Ustalając w przedmiotowej sprawie wysokość kary pieniężnej z tytułu wprowadzenia do obrotu przez przedsiębiorcę: KIZIL-ELMA Spółka z ograniczoną odpowiedzialnością z siedzibą w Kielcach 8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 xml:space="preserve">partii zafałszowanych wyrobów kulinarnych oraz produktu o niewłaściwej jakości handlowej,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W zakresie naruszenia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z art. 40a ust.1 pkt. 4 należy stwierdzić, że stopień społecznej szkodliwości jest wysoki.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Podanie nazwy potrawy niezgodnej z prawdą w rażący sposób narusza interesy konsumentów, wprowadza ich w błąd, co do właściwości środka spożywczego, a w szczególności co do jego charakteru i składu.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zh-CN" w:bidi="hi-IN"/>
        </w:rPr>
        <w:t>Konsument sugerując się nazwą potrawy mógł uznać, że zamawia wyrób z wysokowartościowym gatunkiem mięsa   w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istocie nabywał wyrób z  tańszym zamiennikiem tj. z wyrobem mięsnym - a tym samym otrzymywał wyroby niezgodne z jego oczekiwaniami.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zakresie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z art. 40a ust.1 pkt. 3 stopień społecznej szkodliwości jest również wysoki,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brak uwidocznienia w miejscu sprzedaży informacji o wykazie składników w tym</w:t>
      </w:r>
      <w:r>
        <w:rPr>
          <w:rFonts w:cs="Times New Roman" w:ascii="Times New Roman" w:hAnsi="Times New Roman"/>
          <w:sz w:val="24"/>
          <w:szCs w:val="24"/>
        </w:rPr>
        <w:t xml:space="preserve"> informacji o występujących substancjach lub produktach powodujących alergie lub reakcje nietolerancji,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brak rzetelnych informacji w zakresie nazw oferowanych do sprzedaży wyrobów jak również nieprawidłowe oznakowanie nektaru morelowego</w:t>
      </w:r>
      <w:r>
        <w:rPr>
          <w:rFonts w:cs="Times New Roman" w:ascii="Times New Roman" w:hAnsi="Times New Roman"/>
          <w:sz w:val="24"/>
          <w:szCs w:val="24"/>
        </w:rPr>
        <w:t xml:space="preserve">  niewątpliwie wpływa i obniża jakość handlową tych produktów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Kontrolowany przedsiębiorca był producentem wyrobów kulinarnych oferowanych w menu, dlatego też miał bezpośredni wpływ na sposób ich prezentacji i oznakowania.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Zakres naruszenia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w przypadku produktu o niewłaściwej jakości handlowej jak również zafałszowanych wyrobów kulinarnych stwierdzono naruszenie wymagań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rozporządzeniu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w sprawie</w:t>
      </w:r>
      <w:r>
        <w:rPr>
          <w:rFonts w:eastAsia="Batang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znakowania poszczególnych rodzajów środków spożywczych, rozporządzeniu 178/2002, rozporządzeniu 1169/2011.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Należy wskazać, iż w miejscu sprzedaży konsument został pozbawiony możliwości zapoznania się z istotnymi informacjami przy nabywaniu tych produktów, bez czynienia dodatkowych starań o nie.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nie toczyło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overflowPunct w:val="true"/>
        <w:spacing w:lineRule="auto" w:line="36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Wielkość obrotu i przychodu–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strona nie przedstawiła informacji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wysokości osiągniętego przychodu oraz obrotach w ostatnim roku rozliczeniowym. Wielkość ta została oszacowana w oparciu o charakterystykę działalności gospodarczej strony, uzyskaną na podstawie wydruku z Krajowego Rejestru Sądowego z dnia 18 lutego 2019r., na podstawie art. 23 § 3 </w:t>
      </w:r>
      <w:r>
        <w:rPr>
          <w:rFonts w:eastAsia="Lucida Sans Unicode" w:cs="Times New Roman" w:ascii="Times New Roman" w:hAnsi="Times New Roman"/>
          <w:bCs/>
          <w:i/>
          <w:sz w:val="24"/>
          <w:szCs w:val="24"/>
          <w:lang w:eastAsia="zh-CN" w:bidi="hi-IN"/>
        </w:rPr>
        <w:t>Ustawy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z dnia 29 sierpnia 1997.r – Ordynacja podatkowa (tekst jednolity: Dz. U. z 2018r., poz. 800 ze.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>Wartość kontrolowanych artykułów rolno – spożywczych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–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wyroby zafałszowane: 129,00 zł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- produkt o niewłaściwej jakości handlowej – wartość partii 100,00 zł.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Świętokrzyski Wojewódzki Inspektor Inspekcji Handlowej wymierzając karę w wysokości 1500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zł, na którą składa się: wartość kary za wprowadzenie do obrotu produktu o niewłaściwej jakości handlowej w wysokości 500 zł (najniższy wymiar kary) oraz wartość kary za wprowadzenie do obrotu zafałszowanych wyrobów kulinarnych w wysokości 1000 zł (najniższy wymiar kary)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 § 1 i 2 oraz art. 129 § 1 i 2 K.P.A.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2.</w:t>
        <w:tab/>
        <w:t xml:space="preserve">Zgodnie z 40a ust. 6 i 7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 którym decyzja o wymierzeniu kary stała się ostateczna.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3.</w:t>
        <w:tab/>
        <w:t xml:space="preserve"> 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2015r., poz. 613,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right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1" w:name="_GoBack"/>
      <w:bookmarkStart w:id="2" w:name="_GoBack"/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492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SimSun" w:cs="Times New Roman"/>
          <w:bCs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Cs/>
          <w:sz w:val="20"/>
          <w:szCs w:val="20"/>
          <w:lang w:eastAsia="zh-CN" w:bidi="hi-IN"/>
        </w:rPr>
        <w:t>KIZIL-ELMA Spółka z ograniczoną odpowiedzialnością</w:t>
      </w:r>
    </w:p>
    <w:p>
      <w:pPr>
        <w:pStyle w:val="Normal"/>
        <w:widowControl w:val="false"/>
        <w:tabs>
          <w:tab w:val="left" w:pos="24492" w:leader="none"/>
        </w:tabs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SimSun" w:cs="Times New Roman"/>
          <w:bCs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Cs/>
          <w:sz w:val="20"/>
          <w:szCs w:val="20"/>
          <w:lang w:eastAsia="zh-CN" w:bidi="hi-IN"/>
        </w:rPr>
        <w:t>ul. Ignacego Paderewskiego 27, 25-017 Kielce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492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SimSun" w:cs="Times New Roman"/>
          <w:bCs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Cs/>
          <w:sz w:val="20"/>
          <w:szCs w:val="20"/>
          <w:lang w:eastAsia="zh-CN" w:bidi="hi-IN"/>
        </w:rPr>
        <w:t>A/a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8291908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3aae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3aae"/>
    <w:rPr/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 w:eastAsia="Times New Roman"/>
      <w:b/>
      <w:sz w:val="20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63aae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c63aa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LibreOffice/5.3.2.2$Windows_x86 LibreOffice_project/6cd4f1ef626f15116896b1d8e1398b56da0d0ee1</Application>
  <Pages>12</Pages>
  <Words>3981</Words>
  <Characters>24903</Characters>
  <CharactersWithSpaces>28832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2019-07-02T06:00:00Z</dcterms:created>
  <dc:creator>WIIH</dc:creator>
  <dc:description/>
  <dc:language>pl-PL</dc:language>
  <cp:lastModifiedBy/>
  <dcterms:modified xsi:type="dcterms:W3CDTF">2020-02-20T09:18:48Z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