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Palatino Linotype" w:hAnsi="Palatino Linoty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-46355</wp:posOffset>
                </wp:positionH>
                <wp:positionV relativeFrom="paragraph">
                  <wp:posOffset>1134110</wp:posOffset>
                </wp:positionV>
                <wp:extent cx="5884545" cy="0"/>
                <wp:effectExtent l="19050" t="16510" r="48260" b="40640"/>
                <wp:wrapNone/>
                <wp:docPr id="1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algn="ctr" dir="2700000" dist="35921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" stroked="t" style="position:absolute;margin-left:-3.65pt;margin-top:-1709.3pt;width:463.25pt;height:1798.6pt" type="shapetype_32">
                <w10:wrap type="none"/>
                <v:fill o:detectmouseclick="t" on="false"/>
                <v:stroke color="black" weight="28440" joinstyle="round" endcap="flat"/>
                <v:shadow on="t" obscured="f" color="gray"/>
              </v:shape>
            </w:pict>
          </mc:Fallback>
        </mc:AlternateContent>
      </w: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 xml:space="preserve">Informacja 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48"/>
          <w:szCs w:val="48"/>
        </w:rPr>
        <w:t>o wynikach kontroli spełniania wymagań dla maszyn – elektronarzędzi przeprowadzonych</w:t>
        <w:br/>
        <w:t>w I kwartale 2019 r.</w:t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418" w:right="1134" w:header="0" w:top="1134" w:footer="1418" w:bottom="1475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tabs>
          <w:tab w:val="left" w:pos="465" w:leader="none"/>
        </w:tabs>
        <w:jc w:val="center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bCs/>
          <w:sz w:val="28"/>
          <w:szCs w:val="28"/>
        </w:rPr>
        <w:t>Kielce, kwiecień 2019 r.</w:t>
      </w:r>
    </w:p>
    <w:p>
      <w:pPr>
        <w:pStyle w:val="Normal"/>
        <w:tabs>
          <w:tab w:val="left" w:pos="465" w:leader="none"/>
        </w:tabs>
        <w:spacing w:lineRule="auto" w:line="360"/>
        <w:jc w:val="both"/>
        <w:rPr/>
      </w:pPr>
      <w:r>
        <w:rPr>
          <w:rFonts w:ascii="Palatino Linotype" w:hAnsi="Palatino Linotype"/>
          <w:sz w:val="24"/>
          <w:szCs w:val="24"/>
        </w:rPr>
        <w:tab/>
        <w:t xml:space="preserve">Zgodnie z planem pracy na I kwartał 2019 r. przeprowadzono kontrole w zakresie spełniania wymagań dla maszyn – elektronarzędzi u </w:t>
      </w:r>
      <w:r>
        <w:rPr>
          <w:rFonts w:ascii="Palatino Linotype" w:hAnsi="Palatino Linotype"/>
          <w:b/>
          <w:bCs/>
          <w:sz w:val="24"/>
          <w:szCs w:val="24"/>
        </w:rPr>
        <w:t xml:space="preserve">4 przedsiębiorców </w:t>
      </w:r>
      <w:r>
        <w:rPr>
          <w:rFonts w:ascii="Palatino Linotype" w:hAnsi="Palatino Linotype"/>
          <w:bCs/>
          <w:sz w:val="24"/>
          <w:szCs w:val="24"/>
        </w:rPr>
        <w:t>prowadzących działalność gospodarczą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na terenie województwa świętokrzyskiego.</w:t>
      </w:r>
    </w:p>
    <w:p>
      <w:pPr>
        <w:pStyle w:val="Normal"/>
        <w:tabs>
          <w:tab w:val="left" w:pos="567" w:leader="none"/>
        </w:tabs>
        <w:spacing w:lineRule="auto" w:line="360"/>
        <w:ind w:firstLine="284"/>
        <w:jc w:val="both"/>
        <w:rPr/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</w:t>
      </w:r>
      <w:r>
        <w:rPr>
          <w:rFonts w:ascii="Palatino Linotype" w:hAnsi="Palatino Linotype"/>
          <w:sz w:val="24"/>
          <w:szCs w:val="24"/>
        </w:rPr>
        <w:t xml:space="preserve">ontrolą </w:t>
      </w:r>
      <w:r>
        <w:rPr>
          <w:rFonts w:ascii="Palatino Linotype" w:hAnsi="Palatino Linotype"/>
          <w:sz w:val="24"/>
          <w:szCs w:val="24"/>
        </w:rPr>
        <w:t xml:space="preserve">objęto </w:t>
      </w:r>
      <w:r>
        <w:rPr>
          <w:rFonts w:ascii="Palatino Linotype" w:hAnsi="Palatino Linotype"/>
          <w:sz w:val="24"/>
          <w:szCs w:val="24"/>
        </w:rPr>
        <w:t>8 wyrobów - 6 akumulatorowych wiertarko – wkrętarek oraz 2 szlifierki kątowe, tj.: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Zestaw akumulatorowej wiertarko – wkrętarki DEDRA DED7878B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Zestaw akumulatorowej wiertarko – wkrętaki MAKITA DDF459RF4J, EAN: 088381825009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DCD780M2, EAN: 5035048390917.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Zestaw akumulatorowej wiertarko – wkrętaki 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STANLEY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FMC011S2, EAN: 5035048644737</w:t>
      </w:r>
      <w:r>
        <w:rPr>
          <w:rFonts w:cs="Arial" w:ascii="Palatino Linotype" w:hAnsi="Palatino Linotype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metabo</w:t>
      </w:r>
      <w:r>
        <w:rPr>
          <w:rFonts w:ascii="Palatino Linotype" w:hAnsi="Palatino Linotype"/>
          <w:sz w:val="24"/>
          <w:szCs w:val="24"/>
          <w:vertAlign w:val="super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BS 18 L Quick, EAN: 4007430327413</w:t>
      </w:r>
      <w:r>
        <w:rPr>
          <w:rFonts w:cs="Arial"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BOSCH Professional GSR 12V-15, EAN: 3165140835671</w:t>
      </w:r>
      <w:r>
        <w:rPr>
          <w:rFonts w:cs="Arial"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BOSCH Professional HEAVY DUTY 9-125S, EAN: 3165140861038.</w:t>
      </w:r>
    </w:p>
    <w:p>
      <w:pPr>
        <w:pStyle w:val="ListParagraph"/>
        <w:numPr>
          <w:ilvl w:val="0"/>
          <w:numId w:val="5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SKIL F0159016AA, EAN: 8710364074846.</w:t>
      </w:r>
    </w:p>
    <w:p>
      <w:pPr>
        <w:pStyle w:val="Normal"/>
        <w:tabs>
          <w:tab w:val="left" w:pos="0" w:leader="none"/>
        </w:tabs>
        <w:spacing w:lineRule="auto" w:line="36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Celem kontroli było sprawdzenie i ocena, czy wprowadzone do obrotu maszyny – elektronarzędzia oferowane konsumentom, spełniają wymagania określone: 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 xml:space="preserve">w ustawie z dnia 30 sierpnia 2002 r.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 xml:space="preserve">o systemie oceny zgodności 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(t.j. Dz. U. z 2019 r., poz. 155, ze zm.) zwanej dalej ustawą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o systemie oceny zgodności;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 xml:space="preserve">w rozporządzeniu Ministra Gospodarki z dnia 21 października 2008 r.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w sprawie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zasadniczych wymagań dla maszyn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 (Dz. U. z 2008 r., nr 199, poz. 1228, ze zm.) zwanego dalej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rozporządzeniem MG;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>w odpowiednich normach zharmonizowanych, np.: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normie PN-EN 60745-1:2009 Narzędzia o napędzie elektrycznym. Bezpieczeństwo użytkowania – Część 1: Wymagania ogólne, zwanej dalej </w:t>
      </w:r>
      <w:r>
        <w:rPr>
          <w:rFonts w:eastAsia="Palatino Linotype" w:cs="Palatino Linotype" w:ascii="Palatino Linotype" w:hAnsi="Palatino Linotype"/>
          <w:i/>
          <w:iCs/>
        </w:rPr>
        <w:t>PN-EN 60745-1;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eastAsia="Palatino Linotype" w:cs="Palatino Linotype" w:ascii="Palatino Linotype" w:hAnsi="Palatino Linotype"/>
        </w:rPr>
        <w:t>normie PN</w:t>
      </w:r>
      <w:r>
        <w:rPr>
          <w:rStyle w:val="Wyrnienie"/>
          <w:rFonts w:eastAsia="Palatino Linotype" w:cs="Palatino Linotype" w:ascii="Palatino Linotype" w:hAnsi="Palatino Linotype"/>
        </w:rPr>
        <w:t>-</w:t>
      </w:r>
      <w:r>
        <w:rPr>
          <w:rStyle w:val="Wyrnienie"/>
          <w:rFonts w:eastAsia="Palatino Linotype" w:cs="Palatino Linotype" w:ascii="Palatino Linotype" w:hAnsi="Palatino Linotype"/>
          <w:i w:val="false"/>
        </w:rPr>
        <w:t xml:space="preserve">EN 60745-2-1:2010 Narzędzia ręczne o napędzie elektrycznym – Bezpieczeństwo użytkowania – Część 2-1: Wymagania szczegółowe dotyczące wiertarek i wiertarek udarowych, </w:t>
      </w:r>
      <w:r>
        <w:rPr>
          <w:rFonts w:eastAsia="Palatino Linotype" w:cs="Palatino Linotype" w:ascii="Palatino Linotype" w:hAnsi="Palatino Linotype"/>
        </w:rPr>
        <w:t xml:space="preserve">zwanej dalej </w:t>
      </w:r>
      <w:r>
        <w:rPr>
          <w:rFonts w:eastAsia="Palatino Linotype" w:cs="Palatino Linotype" w:ascii="Palatino Linotype" w:hAnsi="Palatino Linotype"/>
          <w:i/>
          <w:iCs/>
        </w:rPr>
        <w:t>PN-EN 60745-2-1</w:t>
      </w:r>
      <w:r>
        <w:rPr>
          <w:rStyle w:val="Wyrnienie"/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</w:rPr>
      </w:pPr>
      <w:r>
        <w:rPr>
          <w:rStyle w:val="Wyrnienie"/>
          <w:rFonts w:eastAsia="Palatino Linotype" w:cs="Palatino Linotype" w:ascii="Palatino Linotype" w:hAnsi="Palatino Linotype"/>
          <w:i w:val="false"/>
        </w:rPr>
        <w:t>normie PN-EN 60745-2-2:2010 Narzędzia o napędzie elektrycznym – Bezpieczeństwo użytkowania – Część 2-2: Wymagania szczegółowe dotyczące wkrętarek i kluczy udarowych</w:t>
      </w:r>
      <w:r>
        <w:rPr>
          <w:rStyle w:val="Wyrnienie"/>
          <w:rFonts w:eastAsia="Palatino Linotype" w:cs="Palatino Linotype"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</w:rPr>
        <w:t xml:space="preserve">zwanej dalej </w:t>
      </w:r>
      <w:r>
        <w:rPr>
          <w:rFonts w:eastAsia="Palatino Linotype" w:cs="Palatino Linotype" w:ascii="Palatino Linotype" w:hAnsi="Palatino Linotype"/>
          <w:i/>
          <w:iCs/>
        </w:rPr>
        <w:t>PN-EN 60745-2-2</w:t>
      </w:r>
      <w:r>
        <w:rPr>
          <w:rStyle w:val="Wyrnienie"/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>normie PN</w:t>
      </w:r>
      <w:r>
        <w:rPr>
          <w:rStyle w:val="Wyrnienie"/>
          <w:rFonts w:ascii="Palatino Linotype" w:hAnsi="Palatino Linotype"/>
        </w:rPr>
        <w:t>-</w:t>
      </w:r>
      <w:r>
        <w:rPr>
          <w:rStyle w:val="Wyrnienie"/>
          <w:rFonts w:ascii="Palatino Linotype" w:hAnsi="Palatino Linotype"/>
          <w:i w:val="false"/>
        </w:rPr>
        <w:t>EN</w:t>
      </w:r>
      <w:r>
        <w:rPr>
          <w:rStyle w:val="Wyrnienie"/>
          <w:rFonts w:ascii="Palatino Linotype" w:hAnsi="Palatino Linotype"/>
        </w:rPr>
        <w:t xml:space="preserve"> </w:t>
      </w:r>
      <w:r>
        <w:rPr>
          <w:rStyle w:val="Wyrnienie"/>
          <w:rFonts w:ascii="Palatino Linotype" w:hAnsi="Palatino Linotype"/>
          <w:i w:val="false"/>
        </w:rPr>
        <w:t xml:space="preserve">60745-2-3:2011 Narzędzia ręczne o napędzie elektrycznym – Bezpieczeństwo użytkowania – Część 2-3: Wymagania szczegółowe dotyczące szlifierek, polerek i szlifierek dyskowych, </w:t>
      </w:r>
      <w:r>
        <w:rPr>
          <w:rFonts w:ascii="Palatino Linotype" w:hAnsi="Palatino Linotype"/>
        </w:rPr>
        <w:t xml:space="preserve">zwanej dalej </w:t>
      </w:r>
      <w:r>
        <w:rPr>
          <w:rFonts w:ascii="Palatino Linotype" w:hAnsi="Palatino Linotype"/>
          <w:i/>
        </w:rPr>
        <w:t>PN-EN 60745-2-3</w:t>
      </w:r>
      <w:r>
        <w:rPr>
          <w:rStyle w:val="Wyrnienie"/>
          <w:rFonts w:ascii="Palatino Linotype" w:hAnsi="Palatino Linotype"/>
        </w:rPr>
        <w:t>.</w:t>
      </w:r>
    </w:p>
    <w:p>
      <w:pPr>
        <w:pStyle w:val="Standard"/>
        <w:spacing w:lineRule="auto" w:line="360"/>
        <w:ind w:left="720" w:hanging="0"/>
        <w:jc w:val="both"/>
        <w:rPr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 xml:space="preserve">OZNAKOWANIE CE </w:t>
      </w:r>
    </w:p>
    <w:p>
      <w:pPr>
        <w:pStyle w:val="Standard"/>
        <w:spacing w:lineRule="auto" w:line="360"/>
        <w:ind w:left="360" w:firstLine="360"/>
        <w:jc w:val="both"/>
        <w:rPr>
          <w:rStyle w:val="Domylnaczcionkaakapitu2"/>
          <w:rFonts w:ascii="Palatino Linotype" w:hAnsi="Palatino Linotype" w:cs="Palatino Linotype"/>
          <w:i/>
          <w:i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Wszystkie ww. kontrolowane wyroby oznakowane były znakiem CE zgodnie z wymaganiami zawartymi </w:t>
      </w:r>
      <w:r>
        <w:rPr>
          <w:rFonts w:eastAsia="Palatino Linotype" w:cs="Palatino Linotype" w:ascii="Palatino Linotype" w:hAnsi="Palatino Linotype"/>
        </w:rPr>
        <w:t xml:space="preserve">w § 56 ust. 1 pkt 3 i ust. 3 oraz w zał. 4 </w:t>
      </w:r>
      <w:r>
        <w:rPr>
          <w:rFonts w:eastAsia="Palatino Linotype" w:cs="Palatino Linotype" w:ascii="Palatino Linotype" w:hAnsi="Palatino Linotype"/>
          <w:i/>
        </w:rPr>
        <w:t xml:space="preserve">wzór znaku CE </w:t>
      </w:r>
      <w:r>
        <w:rPr>
          <w:rFonts w:eastAsia="Palatino Linotype" w:cs="Palatino Linotype" w:ascii="Palatino Linotype" w:hAnsi="Palatino Linotype"/>
          <w:i/>
          <w:iCs/>
        </w:rPr>
        <w:t>rozporządzenia MG</w:t>
      </w:r>
      <w:r>
        <w:rPr>
          <w:rFonts w:eastAsia="Palatino Linotype" w:cs="Palatino Linotype" w:ascii="Palatino Linotype" w:hAnsi="Palatino Linotype"/>
        </w:rPr>
        <w:t>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DEKLARACJA ZGODNOŚCI:</w:t>
      </w:r>
    </w:p>
    <w:p>
      <w:pPr>
        <w:pStyle w:val="Standard"/>
        <w:spacing w:lineRule="auto" w:line="360"/>
        <w:ind w:left="360" w:firstLine="360"/>
        <w:jc w:val="both"/>
        <w:rPr>
          <w:rStyle w:val="Domylnaczcionkaakapitu2"/>
          <w:rFonts w:ascii="Palatino Linotype" w:hAnsi="Palatino Linotype" w:cs="Palatino Linotype"/>
          <w:i/>
          <w:i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Do wszystkich kontrolowanych ww. wyrobów załączono deklaracje zgodności WE, </w:t>
      </w:r>
      <w:r>
        <w:rPr>
          <w:rFonts w:eastAsia="Palatino Linotype" w:cs="Palatino Linotype" w:ascii="Palatino Linotype" w:hAnsi="Palatino Linotype"/>
        </w:rPr>
        <w:t xml:space="preserve">co jest zgodne z § 59 ust.1 pkt 3 </w:t>
      </w:r>
      <w:r>
        <w:rPr>
          <w:rFonts w:eastAsia="Palatino Linotype" w:cs="Palatino Linotype" w:ascii="Palatino Linotype" w:hAnsi="Palatino Linotype"/>
          <w:i/>
          <w:iCs/>
        </w:rPr>
        <w:t>rozporządzenia MG</w:t>
      </w:r>
      <w:r>
        <w:rPr>
          <w:rFonts w:eastAsia="Palatino Linotype" w:cs="Palatino Linotype" w:ascii="Palatino Linotype" w:hAnsi="Palatino Linotype"/>
        </w:rPr>
        <w:t>.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Dokumenty te poddano dalszej ocenie zgodnie z zał. nr 3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deklaracje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pkt 1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rozporządzenia MG.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W jednym przypadku tj. dla akumulatorowej wiertarko – wkrętarki DEDRA DED7878B (poz. 1) stwierdzono nieprawidłowość polegającą na tym, że deklaracja zgodności została podpisana przez inną osobę niż osoba upoważniona, co jest niezgodne z zał. 3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deklaracje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pkt 1 ppkt 1.3.10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rozporządzenia MG.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ZGODNOŚĆ Z ZASADNICZYMI WYMAGANIAMI:</w:t>
      </w:r>
    </w:p>
    <w:p>
      <w:pPr>
        <w:pStyle w:val="Standard"/>
        <w:numPr>
          <w:ilvl w:val="0"/>
          <w:numId w:val="20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Oznaczenia:</w:t>
      </w:r>
    </w:p>
    <w:p>
      <w:pPr>
        <w:pStyle w:val="Standard"/>
        <w:spacing w:lineRule="auto" w:line="360"/>
        <w:ind w:first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W toku czynności kontrolnych stwierdzono, że:</w:t>
      </w:r>
    </w:p>
    <w:p>
      <w:pPr>
        <w:pStyle w:val="Standard"/>
        <w:numPr>
          <w:ilvl w:val="0"/>
          <w:numId w:val="21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zgodnie z </w:t>
      </w:r>
      <w:r>
        <w:rPr>
          <w:rFonts w:eastAsia="Palatino Linotype" w:cs="Palatino Linotype" w:ascii="Palatino Linotype" w:hAnsi="Palatino Linotype"/>
        </w:rPr>
        <w:t xml:space="preserve">§ 56 ust. 1 </w:t>
      </w:r>
      <w:r>
        <w:rPr>
          <w:rFonts w:eastAsia="Palatino Linotype" w:cs="Palatino Linotype" w:ascii="Palatino Linotype" w:hAnsi="Palatino Linotype"/>
          <w:i/>
        </w:rPr>
        <w:t xml:space="preserve">rozporządzenia MG 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>wszystkie ww. elektronarzędzia oznakowane były w sposób widoczny, czytelny i trwały następującymi informacjami: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nazwą i adresem producenta oraz jego upoważnionego przedstawiciela, jeżeli taki występuje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ascii="Palatino Linotype" w:hAnsi="Palatino Linotype"/>
        </w:rPr>
        <w:t xml:space="preserve">określeniem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Style w:val="Wyrnienie"/>
          <w:rFonts w:ascii="Palatino Linotype" w:hAnsi="Palatino Linotype"/>
        </w:rPr>
        <w:t>;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oznakowaniem CE;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ascii="Palatino Linotype" w:hAnsi="Palatino Linotype"/>
        </w:rPr>
        <w:t xml:space="preserve">oznaczeniem serii lub typu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Style w:val="Wyrnienie"/>
          <w:rFonts w:ascii="Palatino Linotype" w:hAnsi="Palatino Linotype"/>
        </w:rPr>
        <w:t>;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numerem seryjnym, jeżeli taki występuje;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rokiem budowy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Fonts w:ascii="Palatino Linotype" w:hAnsi="Palatino Linotype"/>
        </w:rPr>
        <w:t>, rozumianym, jako rok zakończenia procesu produkcji;</w:t>
      </w:r>
    </w:p>
    <w:p>
      <w:pPr>
        <w:pStyle w:val="Standard"/>
        <w:numPr>
          <w:ilvl w:val="0"/>
          <w:numId w:val="2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zgodnie z </w:t>
      </w:r>
      <w:r>
        <w:rPr>
          <w:rFonts w:eastAsia="Palatino Linotype" w:cs="Palatino Linotype" w:ascii="Palatino Linotype" w:hAnsi="Palatino Linotype"/>
        </w:rPr>
        <w:t xml:space="preserve">§ 57 ust. 1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7 z 8 kontrolowanych elektronarzędzi posiadało pełne informacje dotyczące typu maszyny oraz informacje niezbędne do bezpiecznego użytkowania. W celu weryfikacji spełnienia ww. wymagań </w:t>
      </w:r>
      <w:r>
        <w:rPr>
          <w:rFonts w:eastAsia="Palatino Linotype" w:cs="Palatino Linotype" w:ascii="Palatino Linotype" w:hAnsi="Palatino Linotype"/>
        </w:rPr>
        <w:t xml:space="preserve">posiłkowano się pkt K.8.1 i pkt 8.6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 i pkt 8.1 normy </w:t>
      </w:r>
      <w:r>
        <w:rPr>
          <w:rFonts w:eastAsia="Palatino Linotype" w:cs="Palatino Linotype" w:ascii="Palatino Linotype" w:hAnsi="Palatino Linotype"/>
          <w:i/>
          <w:iCs/>
        </w:rPr>
        <w:t>PN-EN 60745-2-1.</w:t>
      </w:r>
      <w:r>
        <w:rPr>
          <w:rFonts w:eastAsia="Palatino Linotype" w:cs="Palatino Linotype" w:ascii="Palatino Linotype" w:hAnsi="Palatino Linotype"/>
        </w:rPr>
        <w:t xml:space="preserve"> Na tej podstawie stwierdzono, że na 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>akumulatorowej wiertarko – wkrętarce DEDRA DED7878B (poz. 1)</w:t>
      </w:r>
      <w:r>
        <w:rPr>
          <w:rFonts w:eastAsia="Palatino Linotype" w:cs="Palatino Linotype" w:ascii="Palatino Linotype" w:hAnsi="Palatino Linotype"/>
        </w:rPr>
        <w:t xml:space="preserve"> brak jest:</w:t>
      </w:r>
    </w:p>
    <w:p>
      <w:pPr>
        <w:pStyle w:val="Wcicietrecitekstu"/>
        <w:numPr>
          <w:ilvl w:val="0"/>
          <w:numId w:val="7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oznakowania symbolem rodzaju prądu poprzez umieszczenie oznakowania „d.c.” lub znaku graficznego symbolizującego prąd stały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, co jest niezgodne z pkt. K.8.1 tired 2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</w:t>
      </w:r>
      <w:r>
        <w:rPr>
          <w:rFonts w:eastAsia="Palatino Linotype" w:cs="Palatino Linotype" w:ascii="Palatino Linotype" w:hAnsi="Palatino Linotype"/>
          <w:sz w:val="24"/>
          <w:szCs w:val="24"/>
        </w:rPr>
        <w:t>. Na kontrolowanym elektronarzędziu stwierdzono oznakowanie „DC”,</w:t>
      </w:r>
    </w:p>
    <w:p>
      <w:pPr>
        <w:pStyle w:val="Wcicietrecitekstu"/>
        <w:numPr>
          <w:ilvl w:val="0"/>
          <w:numId w:val="7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symbolu „n</w:t>
      </w:r>
      <w:r>
        <w:rPr>
          <w:rFonts w:eastAsia="Palatino Linotype" w:cs="Palatino Linotype" w:ascii="Palatino Linotype" w:hAnsi="Palatino Linotype"/>
          <w:sz w:val="24"/>
          <w:szCs w:val="24"/>
          <w:vertAlign w:val="subscript"/>
        </w:rPr>
        <w:t>0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” tj. prędkości obrotowej bez obciążenia,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pkt 8.1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60745-2-1,</w:t>
      </w:r>
    </w:p>
    <w:p>
      <w:pPr>
        <w:pStyle w:val="Wcicietrecitekstu"/>
        <w:numPr>
          <w:ilvl w:val="0"/>
          <w:numId w:val="7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oznakowania symbolem „…/min” lub „…min</w:t>
      </w:r>
      <w:r>
        <w:rPr>
          <w:rFonts w:eastAsia="Palatino Linotype" w:cs="Palatino Linotype" w:ascii="Palatino Linotype" w:hAnsi="Palatino Linotype"/>
          <w:sz w:val="24"/>
          <w:szCs w:val="24"/>
          <w:vertAlign w:val="superscript"/>
        </w:rPr>
        <w:t>-1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”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60745-1. </w:t>
      </w:r>
      <w:r>
        <w:rPr>
          <w:rFonts w:eastAsia="Palatino Linotype" w:cs="Palatino Linotype" w:ascii="Palatino Linotype" w:hAnsi="Palatino Linotype"/>
          <w:sz w:val="24"/>
          <w:szCs w:val="24"/>
        </w:rPr>
        <w:t>Na kontrolowanym elektronarzędziu stwierdzono oznakowanie „rpm”.</w:t>
      </w:r>
    </w:p>
    <w:p>
      <w:pPr>
        <w:pStyle w:val="Wcicietrecitekstu"/>
        <w:spacing w:lineRule="auto" w:line="360"/>
        <w:ind w:left="1021" w:hanging="0"/>
        <w:jc w:val="both"/>
        <w:textAlignment w:val="baseline"/>
        <w:rPr>
          <w:rFonts w:ascii="Palatino Linotype" w:hAnsi="Palatino Linotype" w:eastAsia="Palatino Linotype" w:cs="Palatino Linotype"/>
          <w:i/>
          <w:i/>
          <w:iCs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Powyższe jest niezgodne z § 57 ust. 1 </w:t>
      </w:r>
      <w:r>
        <w:rPr>
          <w:rFonts w:eastAsia="Palatino Linotype" w:cs="Palatino Linotype" w:ascii="Palatino Linotype" w:hAnsi="Palatino Linotype"/>
          <w:i/>
          <w:iCs/>
          <w:sz w:val="24"/>
          <w:szCs w:val="24"/>
        </w:rPr>
        <w:t>rozporządzenia MG.</w:t>
      </w:r>
    </w:p>
    <w:p>
      <w:pPr>
        <w:pStyle w:val="Wcicietrecitekstu"/>
        <w:spacing w:lineRule="auto" w:line="360"/>
        <w:ind w:left="1021" w:hanging="0"/>
        <w:jc w:val="both"/>
        <w:textAlignment w:val="baseline"/>
        <w:rPr>
          <w:rStyle w:val="Domylnaczcionkaakapitu2"/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</w:r>
    </w:p>
    <w:p>
      <w:pPr>
        <w:pStyle w:val="Standard"/>
        <w:numPr>
          <w:ilvl w:val="0"/>
          <w:numId w:val="20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Instrukcja:</w:t>
      </w:r>
    </w:p>
    <w:p>
      <w:pPr>
        <w:pStyle w:val="Standard"/>
        <w:spacing w:lineRule="auto" w:line="360"/>
        <w:ind w:first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W toku czynności kontrolnych stwierdzono, że: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wszystkie kontrolowane elektronarzędzia spełniały </w:t>
      </w:r>
      <w:r>
        <w:rPr>
          <w:rFonts w:eastAsia="Palatino Linotype" w:cs="Palatino Linotype" w:ascii="Palatino Linotype" w:hAnsi="Palatino Linotype"/>
        </w:rPr>
        <w:t xml:space="preserve">§ 58 </w:t>
      </w:r>
      <w:r>
        <w:rPr>
          <w:rFonts w:eastAsia="Palatino Linotype" w:cs="Palatino Linotype" w:ascii="Palatino Linotype" w:hAnsi="Palatino Linotype"/>
          <w:i/>
        </w:rPr>
        <w:t>rozporządzenia MG;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nieprawidłowości wynikające z § 59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Fonts w:eastAsia="Palatino Linotype" w:cs="Palatino Linotype" w:ascii="Palatino Linotype" w:hAnsi="Palatino Linotype"/>
        </w:rPr>
        <w:t xml:space="preserve"> występują w 7 z 8 kontrolowanych elektronarzędzi tj.</w:t>
      </w:r>
      <w:r>
        <w:rPr>
          <w:rFonts w:eastAsia="Palatino Linotype" w:cs="Palatino Linotype" w:ascii="Palatino Linotype" w:hAnsi="Palatino Linotype"/>
          <w:i/>
        </w:rPr>
        <w:t>: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wkrętarka DEDRA DED7878B: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„Wiertarko – wkrętarka Instrukcja obsługi z kartą gwarancyjną” oznaczonej 7874/7878/7878B/7880B.1262017 V.3:</w:t>
      </w:r>
    </w:p>
    <w:p>
      <w:pPr>
        <w:pStyle w:val="Standard"/>
        <w:numPr>
          <w:ilvl w:val="0"/>
          <w:numId w:val="1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 xml:space="preserve">brak wymaganych ostrzeżeń przetłumaczonych na język polski mających swój odpowiednik w pkt 8.12.2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</w:rPr>
        <w:t xml:space="preserve"> tj.: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„</w:t>
      </w:r>
      <w:r>
        <w:rPr>
          <w:rFonts w:eastAsia="Palatino Linotype" w:cs="Palatino Linotype" w:ascii="Palatino Linotype" w:hAnsi="Palatino Linotype"/>
        </w:rPr>
        <w:drawing>
          <wp:inline distT="0" distB="0" distL="0" distR="9525">
            <wp:extent cx="200025" cy="17145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cs="Palatino Linotype" w:ascii="Palatino Linotype" w:hAnsi="Palatino Linotype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</w:rPr>
        <w:t>WARNING Read all safety warnings and all instructions</w:t>
      </w:r>
      <w:r>
        <w:rPr>
          <w:rFonts w:eastAsia="Palatino Linotype" w:cs="Palatino Linotype" w:ascii="Palatino Linotype" w:hAnsi="Palatino Linotype"/>
        </w:rPr>
        <w:t>. Failure to follow the warnings and instructions may result in electric shock, fire and/or serious injury.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b/>
          <w:bCs/>
        </w:rPr>
        <w:t>Save all warnings and instructions for future reference.</w:t>
      </w:r>
      <w:r>
        <w:rPr>
          <w:rFonts w:eastAsia="Palatino Linotype" w:cs="Palatino Linotype" w:ascii="Palatino Linotype" w:hAnsi="Palatino Linotype"/>
        </w:rPr>
        <w:t>”,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 xml:space="preserve">brak informacji określonej w punkcie 8.12.2 ppkt Za2)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co jest niezgodne z </w:t>
      </w:r>
      <w:r>
        <w:rPr>
          <w:rFonts w:eastAsia="Palatino Linotype" w:cs="Palatino Linotype" w:ascii="Palatino Linotype" w:hAnsi="Palatino Linotype"/>
        </w:rPr>
        <w:t xml:space="preserve">§ 59 ust. 1 pkt 12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>błędne określenie niepewności pomiaru poprzez użycie symboli „KLPA, KLWA” zamiast symboli „</w:t>
      </w:r>
      <w:r>
        <w:rPr>
          <w:rFonts w:ascii="Palatino Linotype" w:hAnsi="Palatino Linotype"/>
          <w:i/>
        </w:rPr>
        <w:t>K</w:t>
      </w:r>
      <w:r>
        <w:rPr>
          <w:rFonts w:ascii="Palatino Linotype" w:hAnsi="Palatino Linotype"/>
          <w:i/>
          <w:vertAlign w:val="subscript"/>
        </w:rPr>
        <w:t>pA</w:t>
      </w:r>
      <w:r>
        <w:rPr>
          <w:rFonts w:ascii="Palatino Linotype" w:hAnsi="Palatino Linotype"/>
          <w:i/>
        </w:rPr>
        <w:t>, K</w:t>
      </w:r>
      <w:r>
        <w:rPr>
          <w:rFonts w:ascii="Palatino Linotype" w:hAnsi="Palatino Linotype"/>
          <w:i/>
          <w:vertAlign w:val="subscript"/>
        </w:rPr>
        <w:t>WA</w:t>
      </w:r>
      <w:r>
        <w:rPr>
          <w:rFonts w:ascii="Palatino Linotype" w:hAnsi="Palatino Linotype"/>
        </w:rPr>
        <w:t xml:space="preserve">” w tabeli „5. Dane Techniczne”, co jest niezgodne z pkt 8.12.2 ppkt Za1) normy </w:t>
      </w:r>
      <w:r>
        <w:rPr>
          <w:rFonts w:ascii="Palatino Linotype" w:hAnsi="Palatino Linotype"/>
          <w:i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21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>W instrukcji „Bezpieczeństwo pracy Informacje dodatkowe”: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ascii="Palatino Linotype" w:hAnsi="Palatino Linotype"/>
        </w:rPr>
        <w:t xml:space="preserve">brak rozróżnienia poprzez wyróżnienie czcionki albo w inny sposób wszystkich ostrzeżeń dotyczących bezpieczeństwa, co jest niezgodne z pkt 8.12.1 normy </w:t>
      </w:r>
      <w:r>
        <w:rPr>
          <w:rFonts w:eastAsia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5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 xml:space="preserve">brak na wstępie wymaganych ostrzeżeń przetłumaczonych na język polski mających swój odpowiednik w pkt 8.12.1.1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</w:rPr>
        <w:t xml:space="preserve"> tj.: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„</w:t>
      </w:r>
      <w:r>
        <w:rPr>
          <w:rFonts w:eastAsia="Palatino Linotype" w:cs="Palatino Linotype" w:ascii="Palatino Linotype" w:hAnsi="Palatino Linotype"/>
        </w:rPr>
        <w:drawing>
          <wp:inline distT="0" distB="0" distL="0" distR="9525">
            <wp:extent cx="200025" cy="171450"/>
            <wp:effectExtent l="0" t="0" r="0" b="0"/>
            <wp:docPr id="3" name="Obraz 18593001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85930017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cs="Palatino Linotype" w:ascii="Palatino Linotype" w:hAnsi="Palatino Linotype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</w:rPr>
        <w:t>WARNING Read all safety warnings and all instructions</w:t>
      </w:r>
      <w:r>
        <w:rPr>
          <w:rFonts w:eastAsia="Palatino Linotype" w:cs="Palatino Linotype" w:ascii="Palatino Linotype" w:hAnsi="Palatino Linotype"/>
        </w:rPr>
        <w:t>. Failure to </w:t>
      </w:r>
      <w:bookmarkStart w:id="0" w:name="_GoBack"/>
      <w:bookmarkEnd w:id="0"/>
      <w:r>
        <w:rPr>
          <w:rFonts w:eastAsia="Palatino Linotype" w:cs="Palatino Linotype" w:ascii="Palatino Linotype" w:hAnsi="Palatino Linotype"/>
        </w:rPr>
        <w:t>follow the warnings and instructions may result in electric shock, fire and/or serious injury.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  <w:t>Save all warnings and instructions for future reference.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The term "power tool" in the warnings refers to your mains-operated corded) power tool or battery-operated (cordless) power tool.”,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2 sekcji „Ogólne warunki bezpieczeństwa miejsca pracy” </w:t>
      </w:r>
      <w:r>
        <w:rPr>
          <w:rFonts w:eastAsia="Palatino Linotype" w:ascii="Palatino Linotype" w:hAnsi="Palatino Linotype"/>
        </w:rPr>
        <w:t xml:space="preserve">nie odpowiada w całości treści ostrzeżenia wynikającego z pkt 8.12.1.1 ppkt 1b) normy </w:t>
      </w:r>
      <w:r>
        <w:rPr>
          <w:rFonts w:eastAsia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sekcji „Ogólne warunki bezpieczeństwa miejsca pracy” jest nieprawidłowa (nie odpowiada treści pkt 8.12.1.1 ppkt 1)),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treści ostrzeżeń podanych w wersach 4 i 5 sekcji „Ogólne warunki bezpieczeństwa miejsca pracy” </w:t>
      </w:r>
      <w:r>
        <w:rPr>
          <w:rFonts w:eastAsia="Palatino Linotype" w:cs="Palatino Linotype" w:ascii="Palatino Linotype" w:hAnsi="Palatino Linotype"/>
        </w:rPr>
        <w:t xml:space="preserve">nie odpowiadają w całości treści ostrzeżenia wynikającego z pkt 8.12.1.1 ppkt 1c)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> 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2b)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5 i 6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 całości treści ostrzeżenia wynikającego z pkt 8.12.1.1 ppkt 2d)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7 i 8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 całości treści ostrzeżenia wynikającego z pkt 8.12.1.1 ppkt 2e)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9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2f)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i 4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5 i 6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3c)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10 i 11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12 sekcji „Bezpieczeństwo osób” nie odpowiada treści wynikającej z pkt 8.12.1.1 ppkt 3)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iCs/>
        </w:rPr>
        <w:t xml:space="preserve">brak wyróżnienia nazwy sekcji „Obsługa urządzenia i jego eksploatacja” w wersie 12, co jest niezgodne z pkt 8.12.1 i 8.12.1.1 ppkt 4)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13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4a)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iCs/>
        </w:rPr>
        <w:t>nieprawidłowo zamieszczone ostrzeżenie w sekcji „Obsługa urządzenia i jego eksploatacja” o treści: „J</w:t>
      </w:r>
      <w:r>
        <w:rPr>
          <w:rFonts w:cs="Arial" w:ascii="Palatino Linotype" w:hAnsi="Palatino Linotype"/>
        </w:rPr>
        <w:t>eżeli można podłączyć do narzędzia urządzenie odsysające, wychwytujące pył, urobek należy upewnić się, że są prawidłowo podłączone i będą prawidłowo użyte. Urządzenia odsysające polepszają warunki pracy i zmniejszają ryzyko wystąpienia wypadku.”</w:t>
      </w:r>
      <w:r>
        <w:rPr>
          <w:rFonts w:eastAsia="Palatino Linotype" w:cs="Palatino Linotype" w:ascii="Palatino Linotype" w:hAnsi="Palatino Linotype"/>
          <w:iCs/>
        </w:rPr>
        <w:t xml:space="preserve">, które powinno być w sekcji „Bezpieczeństwo osobiste” i jest niezgodne z pkt 8.12.1.1. 3g)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14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23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24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4g)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brak sekcji „Obsługa i konserwacja elektronarzędzi akumulatorowych”, co jest niezgodne z pkt K.8.12.1.1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brak treści ostrzeżeń dodatkowych wymaganych normami </w:t>
      </w:r>
      <w:r>
        <w:rPr>
          <w:rFonts w:ascii="Palatino Linotype" w:hAnsi="Palatino Linotype"/>
          <w:i/>
        </w:rPr>
        <w:t xml:space="preserve">PN-EN 60745-2-1 i PN-EN 60745-2-2,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MG.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wkrętaki MAKITA DDF459RF4J: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w instrukcji „Zasady bezpieczeństwa Należy przeczytać i zachować niniejszą instrukcję” oznaczonej 883853E783 </w:t>
      </w:r>
      <w:r>
        <w:rPr>
          <w:rFonts w:ascii="Palatino Linotype" w:hAnsi="Palatino Linotype"/>
        </w:rPr>
        <w:t>treść ostrzeżenia podanego w punkcie 6 sekcji „</w:t>
      </w:r>
      <w:r>
        <w:rPr>
          <w:rFonts w:eastAsia="Palatino Linotype" w:cs="Palatino Linotype" w:ascii="Palatino Linotype" w:hAnsi="Palatino Linotype"/>
          <w:iCs/>
        </w:rPr>
        <w:t>Bezpieczeństwo osobiste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iCs/>
        </w:rPr>
        <w:t xml:space="preserve">co jest niezgodne </w:t>
      </w:r>
      <w:r>
        <w:rPr>
          <w:rFonts w:ascii="Palatino Linotype" w:hAnsi="Palatino Linotype"/>
        </w:rPr>
        <w:t xml:space="preserve">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MG.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DEWALT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DCD780M2:</w:t>
      </w:r>
    </w:p>
    <w:p>
      <w:pPr>
        <w:pStyle w:val="Wcicietrecitekstu"/>
        <w:numPr>
          <w:ilvl w:val="0"/>
          <w:numId w:val="11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instrukcji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XR LI-ION DCD730, DCD735, DCD780, DCD785 „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Tłumaczenie oryginalnej instrukcji” oznaczonej 509111 – 70 PL</w:t>
      </w:r>
      <w:r>
        <w:rPr>
          <w:rFonts w:ascii="Palatino Linotype" w:hAnsi="Palatino Linotype"/>
          <w:sz w:val="24"/>
          <w:szCs w:val="24"/>
        </w:rPr>
        <w:t xml:space="preserve"> brak informacji określonej w pkt 8.12.2 ppkt Za2) normy </w:t>
      </w:r>
      <w:r>
        <w:rPr>
          <w:rFonts w:ascii="Palatino Linotype" w:hAnsi="Palatino Linotype"/>
          <w:i/>
          <w:sz w:val="24"/>
          <w:szCs w:val="24"/>
        </w:rPr>
        <w:t>PN-EN 60745-1</w:t>
      </w:r>
      <w:r>
        <w:rPr>
          <w:rFonts w:ascii="Palatino Linotype" w:hAnsi="Palatino Linotype"/>
          <w:sz w:val="24"/>
          <w:szCs w:val="24"/>
        </w:rPr>
        <w:t xml:space="preserve">, co jest niezgodne z § 59 ust. 1 pkt 12 </w:t>
      </w:r>
      <w:r>
        <w:rPr>
          <w:rFonts w:ascii="Palatino Linotype" w:hAnsi="Palatino Linotype"/>
          <w:i/>
          <w:sz w:val="24"/>
          <w:szCs w:val="24"/>
        </w:rPr>
        <w:t>rozporządzenia MG;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Style w:val="Strong"/>
          <w:rFonts w:ascii="Palatino Linotype" w:hAnsi="Palatino Linotype" w:cs="Palatino Linotype"/>
          <w:b w:val="false"/>
          <w:b w:val="false"/>
          <w:bCs w:val="false"/>
          <w:highlight w:val="white"/>
        </w:rPr>
      </w:pPr>
      <w:r>
        <w:rPr>
          <w:rFonts w:ascii="Palatino Linotype" w:hAnsi="Palatino Linotype"/>
        </w:rPr>
        <w:t xml:space="preserve">Zestaw akumulatorowej wiertarko – wkrętaki </w:t>
      </w:r>
      <w:r>
        <w:rPr>
          <w:rStyle w:val="Strong"/>
          <w:rFonts w:cs="Arial" w:ascii="Palatino Linotype" w:hAnsi="Palatino Linotype"/>
          <w:b w:val="false"/>
        </w:rPr>
        <w:t>STANLEY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FMC011S2: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b/>
          <w:b/>
          <w:highlight w:val="white"/>
        </w:rPr>
      </w:pPr>
      <w:r>
        <w:rPr>
          <w:rStyle w:val="Strong"/>
          <w:rFonts w:cs="Arial" w:ascii="Palatino Linotype" w:hAnsi="Palatino Linotype"/>
          <w:b w:val="false"/>
        </w:rPr>
        <w:t>w instrukcji STANLEY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FMC011</w:t>
      </w:r>
      <w:r>
        <w:rPr>
          <w:rStyle w:val="WW8Num4z0"/>
          <w:rFonts w:cs="Arial" w:ascii="Palatino Linotype" w:hAnsi="Palatino Linotype"/>
          <w:b/>
        </w:rPr>
        <w:t xml:space="preserve"> </w:t>
      </w:r>
      <w:r>
        <w:rPr>
          <w:rStyle w:val="Strong"/>
          <w:rFonts w:cs="Arial" w:ascii="Palatino Linotype" w:hAnsi="Palatino Linotype"/>
          <w:b w:val="false"/>
        </w:rPr>
        <w:t>„Tłumaczenie oryginalnej instrukcji” oznaczonej 509213 – 71 PL:</w:t>
      </w:r>
    </w:p>
    <w:p>
      <w:pPr>
        <w:pStyle w:val="Standard"/>
        <w:numPr>
          <w:ilvl w:val="0"/>
          <w:numId w:val="1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brak wyróżnienia fragmentu tekstu ostrzeżenia „</w:t>
      </w:r>
      <w:r>
        <w:rPr>
          <w:rFonts w:ascii="Palatino Linotype" w:hAnsi="Palatino Linotype"/>
          <w:b/>
        </w:rPr>
        <w:t xml:space="preserve">Ostrzeżenie! </w:t>
      </w:r>
      <w:r>
        <w:rPr>
          <w:rFonts w:ascii="Palatino Linotype" w:hAnsi="Palatino Linotype"/>
        </w:rPr>
        <w:t xml:space="preserve">Zapoznaj się ze wszystkimi ostrzeżeniami dotyczącymi bezpiecznej pracy oraz z instrukcją obsługi”, o którym mowa w pkt 8.12.1.1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co jest niezgodne z § 59 ust. 1 pkt 5 </w:t>
      </w:r>
      <w:r>
        <w:rPr>
          <w:rFonts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1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w instrukcji informacji określonej w pkt 8.12.2 ppkt Za2), co jest niezgodne z § 59 ust. 1 pkt 12 </w:t>
      </w:r>
      <w:r>
        <w:rPr>
          <w:rFonts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metabo</w:t>
      </w:r>
      <w:r>
        <w:rPr>
          <w:rFonts w:ascii="Palatino Linotype" w:hAnsi="Palatino Linotype"/>
          <w:vertAlign w:val="superscript"/>
        </w:rPr>
        <w:t>®</w:t>
      </w:r>
      <w:r>
        <w:rPr>
          <w:rFonts w:ascii="Palatino Linotype" w:hAnsi="Palatino Linotype"/>
        </w:rPr>
        <w:t xml:space="preserve"> BS 18 L Quick: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BS 18 L BS 18 L Quick BS 1800 L Plus SB 18 L opatrzonej napisem „Oryginalna instrukcja obsługi” oznaczonej 170 27 5690 – 0118:</w:t>
      </w:r>
    </w:p>
    <w:p>
      <w:pPr>
        <w:pStyle w:val="Standard"/>
        <w:numPr>
          <w:ilvl w:val="0"/>
          <w:numId w:val="2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na str. 51</w:t>
      </w:r>
      <w:r>
        <w:rPr>
          <w:rFonts w:ascii="Palatino Linotype" w:hAnsi="Palatino Linotype"/>
          <w:i/>
        </w:rPr>
        <w:t xml:space="preserve"> instrukcji obsługi elektronarzędzia</w:t>
      </w:r>
      <w:r>
        <w:rPr>
          <w:rFonts w:ascii="Palatino Linotype" w:hAnsi="Palatino Linotype"/>
        </w:rPr>
        <w:t xml:space="preserve"> w rozdziale 4 „Specyficzne zasady bezpieczeństwa” brak ostrzeżenia wymaganego drugim myślnikiem pkt 8.12.1.1 normy</w:t>
      </w:r>
      <w:r>
        <w:rPr>
          <w:rFonts w:ascii="Palatino Linotype" w:hAnsi="Palatino Linotype"/>
          <w:i/>
        </w:rPr>
        <w:t xml:space="preserve"> PN-EN 60745-2-1,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„Ogólne ostrzeżenia dotyczące bezpieczeństwa użytkowania elektronarzędzia” oznaczonej 170 27 5550 – 0917:</w:t>
      </w:r>
    </w:p>
    <w:p>
      <w:pPr>
        <w:pStyle w:val="Standard"/>
        <w:numPr>
          <w:ilvl w:val="0"/>
          <w:numId w:val="2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19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 xml:space="preserve">treść umieszczonego ostrzeżenia pod „Ogólne ostrzeżenia dotyczące bezpieczeństwa użytkowania elektronarzędzia” nie odpowiada treści ostrzeżenia wynikającego z pkt 8.12.1.1 normy </w:t>
      </w:r>
      <w:r>
        <w:rPr>
          <w:rFonts w:ascii="Palatino Linotype" w:hAnsi="Palatino Linotype"/>
          <w:i/>
        </w:rPr>
        <w:t xml:space="preserve">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2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20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>w rozdziale 3 „Bezpieczeństwo osób” treść ostrzeżenia podanego w punkcie 3 f) nie odpowiada w całości treści ostrzeżenia wynikającego z pkt 8.12.1.1 ppkt 3f) normy</w:t>
      </w:r>
      <w:r>
        <w:rPr>
          <w:rFonts w:ascii="Palatino Linotype" w:hAnsi="Palatino Linotype"/>
          <w:i/>
        </w:rPr>
        <w:t xml:space="preserve"> 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2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21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>w rozdziale „Obsługa i konserwacja elektronarzędzi” treść ostrzeżenia podanego w punkcie 4 e) nie odpowiada treści ostrzeżenia wynikającego z pkt 8.12.1.1 ppkt 4e) normy</w:t>
      </w:r>
      <w:r>
        <w:rPr>
          <w:rFonts w:ascii="Palatino Linotype" w:hAnsi="Palatino Linotype"/>
          <w:i/>
        </w:rPr>
        <w:t xml:space="preserve"> 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ListParagraph"/>
        <w:numPr>
          <w:ilvl w:val="0"/>
          <w:numId w:val="9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BOSCH Professional HEAVY DUTY 9-125S:</w:t>
      </w:r>
    </w:p>
    <w:p>
      <w:pPr>
        <w:pStyle w:val="ListParagraph"/>
        <w:numPr>
          <w:ilvl w:val="0"/>
          <w:numId w:val="11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instrukcji BOSCH GWS Professional HEAVY DUTY 9-115 | 9-125 | 9-115 S | 9-125 S </w:t>
      </w:r>
      <w:r>
        <w:rPr>
          <w:rFonts w:eastAsia="Palatino Linotype" w:cs="Palatino Linotype" w:ascii="Palatino Linotype" w:hAnsi="Palatino Linotype"/>
          <w:sz w:val="24"/>
          <w:szCs w:val="24"/>
        </w:rPr>
        <w:t>oznaczonej 1609 92A 3EC (17.2.17):</w:t>
      </w:r>
    </w:p>
    <w:p>
      <w:pPr>
        <w:pStyle w:val="ListParagraph"/>
        <w:numPr>
          <w:ilvl w:val="0"/>
          <w:numId w:val="22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123, w rozdziale „Dodatkowe szczególne wskazówki bezpieczeństwa dla przecinania ściernicą” treść ostrzeżenia w ostatnim myślniku nie odpowiada treści wynikającej z pkt 8.12.1.104 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60745-2-3,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ListParagraph"/>
        <w:numPr>
          <w:ilvl w:val="0"/>
          <w:numId w:val="22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123, w rozdziale „Szczególne wskazówki bezpieczeństwa dla pracy z użyciem szczotek drucianych” treść ostrzeżenia w drugim myślniku nie odpowiada treści wynikającej z pkt 8.12.1.107 b)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Szlifierka kątowa SKIL F0159016AA: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 instrukcji </w:t>
      </w:r>
      <w:r>
        <w:rPr>
          <w:rFonts w:ascii="Palatino Linotype" w:hAnsi="Palatino Linotype"/>
        </w:rPr>
        <w:t>SKIL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ANGLE GRINDER 9001 (F0159001..) 9006 (F0159006..) 9016 (F0159016..) oznaczonej </w:t>
      </w:r>
      <w:r>
        <w:rPr>
          <w:rFonts w:eastAsia="Palatino Linotype" w:cs="Palatino Linotype" w:ascii="Palatino Linotype" w:hAnsi="Palatino Linotype"/>
        </w:rPr>
        <w:t>2610Z09331 08/17: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80 instrukcji, w rozdziale „Bezpieczeństwo” treść ostrzeżenia umieszczonego pod „Ogólne ostrzeżenia dotyczące bezpieczeństwa użytkowania elektronarzędzia” nie odpowiada treści ostrzeżenia wymaganego pkt 8.12.1.1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3 - „Bezpieczeństwo osób” ppkt f) treść ostrzeżenia nie odpowiada treści ostrzeżenia wymaganego pkt 8.12.1.1 3f)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4 - „Uważne obcowanie oraz użycie elektronarzędzia” treść tego nagłówka nie odpowiada treści nagłówka wymaganego pkt 8.12.1.1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4 - „Uważne obcowanie oraz użycie elektronarzędzia” ppkt e) treść ostrzeżenia nie odpowiada treści ostrzeżenia wymaganego pkt 8.12.1.1 4e)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„Instrukcje bezpieczeństwa do szlifierki kątowej”, w podrozdziale 1 - „Wskazówki bezpieczeństwa dotyczące szlifowania, szlifowania papierem ściernym, pracy z użyciem szczotek drucianych, polerowania i przecinania ściernicą” ppkt b) treść ostrzeżenia nie odpowiada treści ostrzeżenia wymaganego pkt 8.12.1.101 b)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82 instrukcji, w rozdziale „Instrukcje bezpieczeństwa do szlifierki kątowej”, w podrozdziale 2 - „Odrzut i odpowiednie wskazówki ostrzegawcze” ppkt b), c) oraz e) treść ostrzeżeń nie odpowiada treści ostrzeżeń wymaganych pkt 8.12.1.102 b), c) oraz 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83 instrukcji, w rozdziale „Instrukcje bezpieczeństwa do szlifierki kątowej”, w podrozdziale 3 - „Szczególne wskazówki ostrzegawcze dotyczące szlifowania i odcinania z użyciem ściernic” ppkt e) treść ostrzeżenia nie odpowiada treści ostrzeżenia wymaganego pkt 8.12.1.103 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83 instrukcji, w rozdziale „Instrukcje bezpieczeństwa do szlifierki kątowej”, w podrozdziale 4 - „Dalsze szczególne wskazówki ostrzegawcze dotyczące przecinania ściernicą” ppkt b) i f) treść ostrzeżeń nie odpowiada treści ostrzeżeń wymaganych pkt 8.12.1.104 b) i 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3"/>
        </w:numPr>
        <w:spacing w:lineRule="auto" w:line="360"/>
        <w:jc w:val="both"/>
        <w:rPr>
          <w:rStyle w:val="Domylnaczcionkaakapitu2"/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brak informacji określonej w punkcie 8.12.2 ppkt Za2)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§ 59 ust. 1 pkt 12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niezgodności wynikające z § 64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Fonts w:eastAsia="Palatino Linotype" w:cs="Palatino Linotype" w:ascii="Palatino Linotype" w:hAnsi="Palatino Linotype"/>
        </w:rPr>
        <w:t xml:space="preserve"> występują w 4 z 8 kontrolowanych elektronarzędzi tj.</w:t>
      </w:r>
      <w:r>
        <w:rPr>
          <w:rFonts w:eastAsia="Palatino Linotype" w:cs="Palatino Linotype" w:ascii="Palatino Linotype" w:hAnsi="Palatino Linotype"/>
          <w:i/>
        </w:rPr>
        <w:t>: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wkrętarka DEDRA DED7878B:</w:t>
      </w:r>
    </w:p>
    <w:p>
      <w:pPr>
        <w:pStyle w:val="Standard"/>
        <w:numPr>
          <w:ilvl w:val="0"/>
          <w:numId w:val="1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„Wiertarko – wkrętarka Instrukcja obsługi z kartą gwarancyjną” oznaczonej 7874/7878/7878B/7880B.1262017 V.3: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informacji określonych w punkcie 8.12.2 ppkt Za4)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informacji określonych w punkcie 8.12.2 ppkt Za5) normy </w:t>
      </w:r>
      <w:r>
        <w:rPr>
          <w:rFonts w:ascii="Palatino Linotype" w:hAnsi="Palatino Linotype"/>
          <w:i/>
        </w:rPr>
        <w:t xml:space="preserve">PN-EN 60745-1, 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symbolu określającego parametr poziomu wibracji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vertAlign w:val="subscript"/>
        </w:rPr>
        <w:t xml:space="preserve">h,D, </w:t>
      </w:r>
      <w:r>
        <w:rPr>
          <w:rFonts w:ascii="Palatino Linotype" w:hAnsi="Palatino Linotype"/>
        </w:rPr>
        <w:t>oraz opisu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określonego w pkt 6.2.7.2 normy </w:t>
      </w:r>
      <w:r>
        <w:rPr>
          <w:rFonts w:ascii="Palatino Linotype" w:hAnsi="Palatino Linotype"/>
          <w:i/>
        </w:rPr>
        <w:t>PN-EN 60745-2-1,</w:t>
      </w:r>
      <w:r>
        <w:rPr>
          <w:rFonts w:ascii="Palatino Linotype" w:hAnsi="Palatino Linotype"/>
        </w:rPr>
        <w:t xml:space="preserve">wymaganego pkt 8.12.2 ppkt Za3)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błędne określenie niepewności pomiaru poziomu wibracji poprzez użycie symbolu „KD” zamiast symbolu „</w:t>
      </w:r>
      <w:r>
        <w:rPr>
          <w:rFonts w:ascii="Palatino Linotype" w:hAnsi="Palatino Linotype"/>
          <w:i/>
        </w:rPr>
        <w:t xml:space="preserve">K” </w:t>
      </w:r>
      <w:r>
        <w:rPr>
          <w:rFonts w:ascii="Palatino Linotype" w:hAnsi="Palatino Linotype"/>
        </w:rPr>
        <w:t xml:space="preserve">w tabeli „5. Dane Techniczne”, co jest niezgodne z pkt 6.2.7.2 normy </w:t>
      </w:r>
      <w:r>
        <w:rPr>
          <w:rFonts w:ascii="Palatino Linotype" w:hAnsi="Palatino Linotype"/>
          <w:i/>
        </w:rPr>
        <w:t xml:space="preserve">PN-EN 60745-2-1 </w:t>
      </w:r>
      <w:r>
        <w:rPr>
          <w:rFonts w:ascii="Palatino Linotype" w:hAnsi="Palatino Linotype"/>
        </w:rPr>
        <w:t xml:space="preserve">wymaganego pkt 8.12.2 ppkt Za3) normy </w:t>
      </w:r>
      <w:r>
        <w:rPr>
          <w:rFonts w:ascii="Palatino Linotype" w:hAnsi="Palatino Linotype"/>
          <w:i/>
        </w:rPr>
        <w:t>PN-EN 60745-1,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określenia parametru poziomu wibracji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vertAlign w:val="subscript"/>
        </w:rPr>
        <w:t>h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 xml:space="preserve">współczynnika niepewności pomiaru </w:t>
      </w:r>
      <w:r>
        <w:rPr>
          <w:rFonts w:ascii="Palatino Linotype" w:hAnsi="Palatino Linotype"/>
          <w:i/>
        </w:rPr>
        <w:t xml:space="preserve">K </w:t>
      </w:r>
      <w:r>
        <w:rPr>
          <w:rFonts w:ascii="Palatino Linotype" w:hAnsi="Palatino Linotype"/>
        </w:rPr>
        <w:t xml:space="preserve">oraz opisu określonego w pkt 6.2.7.2 normy </w:t>
      </w:r>
      <w:r>
        <w:rPr>
          <w:rFonts w:ascii="Palatino Linotype" w:hAnsi="Palatino Linotype"/>
          <w:i/>
        </w:rPr>
        <w:t>PN-EN 60745-2-2,</w:t>
      </w:r>
      <w:r>
        <w:rPr>
          <w:rFonts w:ascii="Palatino Linotype" w:hAnsi="Palatino Linotype"/>
        </w:rPr>
        <w:t xml:space="preserve"> wymaganego pkt 8.12.2 ppkt Za3) normy </w:t>
      </w:r>
      <w:r>
        <w:rPr>
          <w:rFonts w:ascii="Palatino Linotype" w:hAnsi="Palatino Linotype"/>
          <w:i/>
        </w:rPr>
        <w:t>PN-EN 60745-1,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wkrętaki MAKITA DDF459RF4J: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Brak w </w:t>
      </w:r>
      <w:r>
        <w:rPr>
          <w:rFonts w:eastAsia="Palatino Linotype" w:cs="Palatino Linotype" w:ascii="Palatino Linotype" w:hAnsi="Palatino Linotype"/>
          <w:iCs/>
        </w:rPr>
        <w:t xml:space="preserve">instrukcji </w:t>
      </w:r>
      <w:r>
        <w:rPr>
          <w:rFonts w:eastAsia="Palatino Linotype" w:cs="Palatino Linotype" w:ascii="Palatino Linotype" w:hAnsi="Palatino Linotype"/>
        </w:rPr>
        <w:t>„Akum. Wiertarko – wkrętarka Instrukcja Obsługi” oznaczonej 885237C971 informacji dotyczących drgań przenoszonych przez maszynę dla funkcji wkręcania,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DEWALT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DCD780M2:</w:t>
      </w:r>
    </w:p>
    <w:p>
      <w:pPr>
        <w:pStyle w:val="Wcicietrecitekstu"/>
        <w:numPr>
          <w:ilvl w:val="0"/>
          <w:numId w:val="11"/>
        </w:numPr>
        <w:spacing w:lineRule="auto" w:line="360"/>
        <w:jc w:val="both"/>
        <w:textAlignment w:val="baseline"/>
        <w:rPr>
          <w:rStyle w:val="Wyrnienie"/>
          <w:rFonts w:ascii="Palatino Linotype" w:hAnsi="Palatino Linotype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instrukcji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XR LI-ION DCD730, DCD735, DCD780, DCD785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„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Tłumaczenie oryginalnej instrukcji” oznaczonej 509111 – 70 PL</w:t>
      </w:r>
      <w:r>
        <w:rPr>
          <w:rStyle w:val="Wyrnienie"/>
          <w:rFonts w:eastAsia="Palatino Linotype" w:cs="Palatino Linotype" w:ascii="Palatino Linotype" w:hAnsi="Palatino Linotype"/>
          <w:b/>
          <w:sz w:val="24"/>
          <w:szCs w:val="24"/>
        </w:rPr>
        <w:t>:</w:t>
      </w:r>
    </w:p>
    <w:p>
      <w:pPr>
        <w:pStyle w:val="Wcicietrecitekstu"/>
        <w:numPr>
          <w:ilvl w:val="0"/>
          <w:numId w:val="18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tabeli „Dane techniczne – Wartość hałasu i drgań (sumy wektorowe przyśpieszeń) zgodnie z EN60745-2-1 – Wkręcanie śrub” nie zastosowano opisu trybu pracy elektronarzędzia określonego w pkt 6.2.7.2 normy </w:t>
      </w:r>
      <w:r>
        <w:rPr>
          <w:rFonts w:ascii="Palatino Linotype" w:hAnsi="Palatino Linotype"/>
          <w:i/>
          <w:sz w:val="24"/>
          <w:szCs w:val="24"/>
        </w:rPr>
        <w:t xml:space="preserve">PN-EN 60745-2-2, </w:t>
      </w:r>
      <w:r>
        <w:rPr>
          <w:rFonts w:ascii="Palatino Linotype" w:hAnsi="Palatino Linotype"/>
          <w:sz w:val="24"/>
          <w:szCs w:val="24"/>
        </w:rPr>
        <w:t xml:space="preserve">w związku z pkt 8.12.2 ppkt Za) normy </w:t>
      </w:r>
      <w:r>
        <w:rPr>
          <w:rFonts w:ascii="Palatino Linotype" w:hAnsi="Palatino Linotype"/>
          <w:i/>
          <w:sz w:val="24"/>
          <w:szCs w:val="24"/>
        </w:rPr>
        <w:t>PN-EN 60745-1;</w:t>
      </w:r>
    </w:p>
    <w:p>
      <w:pPr>
        <w:pStyle w:val="Wcicietrecitekstu"/>
        <w:numPr>
          <w:ilvl w:val="0"/>
          <w:numId w:val="18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tabeli „Dane techniczne – Wartość hałasu i drgań (sumy wektorowe przyśpieszeń) zgodnie z EN60745-2-1 – Wkręcanie śrub” błędnie użyto indeksu dolnego „ID” przy parametrze „wartość emisji drgań a</w:t>
      </w:r>
      <w:r>
        <w:rPr>
          <w:rFonts w:ascii="Palatino Linotype" w:hAnsi="Palatino Linotype"/>
          <w:sz w:val="24"/>
          <w:szCs w:val="24"/>
          <w:vertAlign w:val="subscript"/>
        </w:rPr>
        <w:t>h</w:t>
      </w:r>
      <w:r>
        <w:rPr>
          <w:rFonts w:ascii="Palatino Linotype" w:hAnsi="Palatino Linotype"/>
          <w:sz w:val="24"/>
          <w:szCs w:val="24"/>
        </w:rPr>
        <w:t xml:space="preserve">” określonego w pkt 6.2.7.2 normy </w:t>
      </w:r>
      <w:r>
        <w:rPr>
          <w:rFonts w:ascii="Palatino Linotype" w:hAnsi="Palatino Linotype"/>
          <w:i/>
          <w:sz w:val="24"/>
          <w:szCs w:val="24"/>
        </w:rPr>
        <w:t xml:space="preserve">PN-EN 60745-2-2 </w:t>
      </w:r>
      <w:r>
        <w:rPr>
          <w:rFonts w:ascii="Palatino Linotype" w:hAnsi="Palatino Linotype"/>
          <w:sz w:val="24"/>
          <w:szCs w:val="24"/>
        </w:rPr>
        <w:t xml:space="preserve">w związku z pkt 8.12.2 ppkt Za) normy </w:t>
      </w:r>
      <w:r>
        <w:rPr>
          <w:rFonts w:ascii="Palatino Linotype" w:hAnsi="Palatino Linotype"/>
          <w:i/>
          <w:sz w:val="24"/>
          <w:szCs w:val="24"/>
        </w:rPr>
        <w:t>PN-EN 60745-1;</w:t>
      </w:r>
    </w:p>
    <w:p>
      <w:pPr>
        <w:pStyle w:val="Wcicietrecitekstu"/>
        <w:numPr>
          <w:ilvl w:val="0"/>
          <w:numId w:val="9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SKIL F0159016AA:</w:t>
      </w:r>
    </w:p>
    <w:p>
      <w:pPr>
        <w:pStyle w:val="Wcicietrecitekstu"/>
        <w:numPr>
          <w:ilvl w:val="0"/>
          <w:numId w:val="11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Style w:val="Domylnaczcionkaakapitu2"/>
          <w:rFonts w:cs="Palatino Linotype" w:ascii="Palatino Linotype" w:hAnsi="Palatino Linotype"/>
          <w:sz w:val="24"/>
          <w:szCs w:val="24"/>
          <w:shd w:fill="FFFFFF" w:val="clear"/>
        </w:rPr>
        <w:t xml:space="preserve">w instrukcji </w:t>
      </w:r>
      <w:r>
        <w:rPr>
          <w:rFonts w:ascii="Palatino Linotype" w:hAnsi="Palatino Linotype"/>
          <w:sz w:val="24"/>
          <w:szCs w:val="24"/>
        </w:rPr>
        <w:t>SKIL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ANGLE GRINDER 9001 (F0159001..) 9006 (F0159006..) 9016 (F0159016..) oznaczonej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2610Z09331 08/17 brak informacji wymaganej pkt 8.12.2 Za3)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w związku z pkt 6.2.7.2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60745-2-3.</w:t>
      </w:r>
    </w:p>
    <w:p>
      <w:pPr>
        <w:pStyle w:val="Wcicietrecitekstu"/>
        <w:spacing w:lineRule="auto" w:line="360"/>
        <w:ind w:left="1080" w:hanging="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Wcicietrecitekstu"/>
        <w:numPr>
          <w:ilvl w:val="0"/>
          <w:numId w:val="4"/>
        </w:numPr>
        <w:spacing w:lineRule="auto" w:line="360"/>
        <w:jc w:val="both"/>
        <w:textAlignment w:val="baseline"/>
        <w:rPr>
          <w:rFonts w:ascii="Palatino Linotype" w:hAnsi="Palatino Linotype"/>
          <w:b/>
          <w:b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</w:rPr>
        <w:t>BADANIE LABORATORYJNE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Zgodnie z programem kontroli DNR-3.702.15.2018.MK pobrano do badań laboratoryjnych szlifierkę kątową BOSCH Professional HEAVY DUTY 9-125S, EAN: 3165140861038. Badanie zostało przeprowadzone przez Ośrodek Badań Atestacji i Certyfikacji OBAC Sp. z o.o. z siedzibą w Gliwicach w zakresie spełniania przez produkt następujących punktów norm: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14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14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odporności na działanie wilgoci,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15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15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wytrzymałości elektrycznej,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17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17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pracy długotrwałej,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18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18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pracy w warunkach nienormalnych,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20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20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wytrzymałości mechanicznej.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Przeprowadzone badanie wykazało, że </w:t>
      </w:r>
      <w:r>
        <w:rPr>
          <w:rFonts w:ascii="Palatino Linotype" w:hAnsi="Palatino Linotype"/>
          <w:sz w:val="24"/>
          <w:szCs w:val="24"/>
          <w:shd w:fill="FFFFFF" w:val="clear"/>
        </w:rPr>
        <w:t xml:space="preserve">szlifierka kątowa BOSCH GWS 9-125S </w:t>
      </w:r>
      <w:r>
        <w:rPr>
          <w:rFonts w:ascii="Palatino Linotype" w:hAnsi="Palatino Linotype"/>
          <w:b/>
          <w:sz w:val="24"/>
          <w:szCs w:val="24"/>
          <w:shd w:fill="FFFFFF" w:val="clear"/>
        </w:rPr>
        <w:t>spełnia</w:t>
      </w:r>
      <w:r>
        <w:rPr>
          <w:rFonts w:ascii="Palatino Linotype" w:hAnsi="Palatino Linotype"/>
          <w:sz w:val="24"/>
          <w:szCs w:val="24"/>
          <w:shd w:fill="FFFFFF" w:val="clear"/>
        </w:rPr>
        <w:t xml:space="preserve"> wymagania ww. punktów norm.</w:t>
      </w:r>
    </w:p>
    <w:p>
      <w:pPr>
        <w:pStyle w:val="Standard"/>
        <w:spacing w:lineRule="auto" w: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WYKORZYSTANIE USTALEŃ KONTROLNYCH</w:t>
      </w:r>
    </w:p>
    <w:p>
      <w:pPr>
        <w:pStyle w:val="Normal"/>
        <w:spacing w:lineRule="auto" w:line="360"/>
        <w:ind w:first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dzień sporządzenia informacji z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godnie z art. 40k. ust. 2 ustawy z dnia 30 sierpnia 2002 r. </w:t>
      </w:r>
      <w:r>
        <w:rPr>
          <w:rStyle w:val="Strong"/>
          <w:rFonts w:ascii="Palatino Linotype" w:hAnsi="Palatino Linotype"/>
          <w:b w:val="false"/>
          <w:bCs w:val="false"/>
          <w:i/>
          <w:iCs/>
          <w:sz w:val="24"/>
          <w:szCs w:val="24"/>
        </w:rPr>
        <w:t>o systemie oceny zgodności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 tut. Inspektorat skierował do:</w:t>
      </w:r>
    </w:p>
    <w:p>
      <w:pPr>
        <w:pStyle w:val="ListParagraph"/>
        <w:numPr>
          <w:ilvl w:val="0"/>
          <w:numId w:val="26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producenta zestawu </w:t>
      </w:r>
      <w:r>
        <w:rPr>
          <w:rFonts w:eastAsia="Palatino Linotype" w:cs="Palatino Linotype" w:ascii="Palatino Linotype" w:hAnsi="Palatino Linotype"/>
          <w:sz w:val="24"/>
          <w:szCs w:val="24"/>
        </w:rPr>
        <w:t>akumulatorowej wiertarko – wkrętarki DEDRA DED7878B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 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DEDRA-EXIM Sp. z o.o., 05-800 Pruszków, ul. 3 Maja 8;</w:t>
      </w:r>
    </w:p>
    <w:p>
      <w:pPr>
        <w:pStyle w:val="ListParagraph"/>
        <w:numPr>
          <w:ilvl w:val="0"/>
          <w:numId w:val="26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>trzech dystrybutorów:</w:t>
      </w:r>
    </w:p>
    <w:p>
      <w:pPr>
        <w:pStyle w:val="ListParagraph"/>
        <w:numPr>
          <w:ilvl w:val="0"/>
          <w:numId w:val="27"/>
        </w:numPr>
        <w:spacing w:lineRule="auto" w:line="360"/>
        <w:jc w:val="both"/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zestawu akumulatorowej wiertarko – wkrętarki Makita DDF459RF4J 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Makita Sp. z o.o., 43-346 Bielsko – Biała, ul. Bestwińska 103;</w:t>
      </w:r>
    </w:p>
    <w:p>
      <w:pPr>
        <w:pStyle w:val="ListParagraph"/>
        <w:numPr>
          <w:ilvl w:val="0"/>
          <w:numId w:val="27"/>
        </w:numPr>
        <w:spacing w:lineRule="auto" w:line="360"/>
        <w:jc w:val="both"/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zestawu akumulatorowej wiertarko – wkrętarki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DCD780M2 oraz zestawu akumulatorowej wiertarko – wkrętaki 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STANLEY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FMC011S2 </w:t>
      </w:r>
      <w:r>
        <w:rPr>
          <w:rFonts w:ascii="Palatino Linotype" w:hAnsi="Palatino Linotype"/>
          <w:sz w:val="24"/>
          <w:szCs w:val="24"/>
        </w:rPr>
        <w:t xml:space="preserve">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Black &amp; Decker Limited BVBA Sp. z o.o. Oddział w Polsce, ul. Prosta 68, 00 – 838 Warszawa</w:t>
      </w:r>
      <w:r>
        <w:rPr>
          <w:rFonts w:ascii="Palatino Linotype" w:hAnsi="Palatino Linotype"/>
          <w:sz w:val="24"/>
          <w:szCs w:val="24"/>
        </w:rPr>
        <w:t>;</w:t>
      </w:r>
    </w:p>
    <w:p>
      <w:pPr>
        <w:pStyle w:val="ListParagraph"/>
        <w:numPr>
          <w:ilvl w:val="0"/>
          <w:numId w:val="27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zestawu akumulatorowej wiertarko – wkrętarki metabo</w:t>
      </w:r>
      <w:r>
        <w:rPr>
          <w:rFonts w:ascii="Palatino Linotype" w:hAnsi="Palatino Linotype"/>
          <w:sz w:val="24"/>
          <w:szCs w:val="24"/>
          <w:vertAlign w:val="super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BS 18 L Quick – firmy Metabo Polska Sp. z o.o. ul. Gdyńska 28, 73-110 Stargard;</w:t>
      </w:r>
    </w:p>
    <w:p>
      <w:pPr>
        <w:pStyle w:val="Normal"/>
        <w:spacing w:lineRule="auto" w:line="360"/>
        <w:jc w:val="both"/>
        <w:rPr>
          <w:rStyle w:val="Strong"/>
          <w:rFonts w:ascii="Palatino Linotype" w:hAnsi="Palatino Linotype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Strong"/>
          <w:rFonts w:cs="Arial" w:ascii="Palatino Linotype" w:hAnsi="Palatino Linotype"/>
          <w:b w:val="false"/>
          <w:bCs w:val="false"/>
          <w:color w:val="000000"/>
          <w:sz w:val="24"/>
          <w:szCs w:val="24"/>
        </w:rPr>
        <w:t>wystąpienia z wnioskiem o podjęcie dobrowolnych działań naprawczych w zakresie usunięcia niezgodności z zasadniczymi wymaganiami oraz przedstawienie dowodów podjętych działań w podanym terminie. Do dnia dzisiejszego odpowiedzi udzieliły firmy:</w:t>
      </w:r>
    </w:p>
    <w:p>
      <w:pPr>
        <w:pStyle w:val="ListParagraph"/>
        <w:numPr>
          <w:ilvl w:val="0"/>
          <w:numId w:val="28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DEDRA-EXIM Sp. z o.o., która przesłała odpowiedź wraz z kopią poprawionej deklaracji zgodności, poprawionej instrukcji obsługi, ogólnego bezpieczeństwa oraz tabliczki znamionowej;</w:t>
      </w:r>
    </w:p>
    <w:p>
      <w:pPr>
        <w:pStyle w:val="ListParagraph"/>
        <w:numPr>
          <w:ilvl w:val="0"/>
          <w:numId w:val="28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Makita Sp. z o.o., która przesłała odpowiedź z jakich powodów w instrukcji nie pojawiły się kwestionowane zagadnienia;</w:t>
      </w:r>
    </w:p>
    <w:p>
      <w:pPr>
        <w:pStyle w:val="Normal"/>
        <w:spacing w:lineRule="auto" w:line="360"/>
        <w:ind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pozostałych przypadkach, w których stwierdzono nieprawidłowości do dystrybutorów zostaną skierowane również wystąpienia z wnioskiem o podjęcie dobrowolnych działań naprawczych w zakresie usunięcia niezgodności z zasadniczymi wymaganiami oraz przedstawienia dowodów podjętych działań w podanym terminie.</w:t>
      </w:r>
    </w:p>
    <w:p>
      <w:pPr>
        <w:pStyle w:val="Normal"/>
        <w:spacing w:lineRule="auto" w:line="360"/>
        <w:ind w:firstLine="360"/>
        <w:jc w:val="both"/>
        <w:rPr>
          <w:rFonts w:ascii="Palatino Linotype" w:hAnsi="Palatino Linotype" w:cs="Arial"/>
          <w:i/>
          <w:i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W przypadku producenta DEDRA-EXIM Sp. z o.o., który wprowadził do obrotu wyrób niezgodny z zasadniczymi wymaganiami zostanie skierowane zawiadomienie do prokuratury o podejrzeniu popełnienia przestępstwa z art. 45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ustawy o </w:t>
      </w:r>
      <w:r>
        <w:rPr>
          <w:rFonts w:eastAsia="Palatino Linotype" w:cs="Palatino Linotype" w:ascii="Palatino Linotype" w:hAnsi="Palatino Linotype"/>
          <w:i/>
          <w:iCs/>
          <w:sz w:val="24"/>
          <w:szCs w:val="24"/>
          <w:shd w:fill="FFFFFF" w:val="clear"/>
        </w:rPr>
        <w:t>systemie oceny zgodności;</w:t>
      </w:r>
    </w:p>
    <w:p>
      <w:pPr>
        <w:pStyle w:val="Normal"/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b/>
          <w:color w:val="000000"/>
          <w:sz w:val="24"/>
          <w:szCs w:val="24"/>
        </w:rPr>
        <w:t>DANE O WSPÓŁPRACY Z ORGANAMI CELNYMI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I kwartale 2019 r. tutejszy Inspektorat nie wydawał opinii dotyczących maszyn – elektronarzędzi na potrzeby urzędów celnych.</w:t>
      </w:r>
    </w:p>
    <w:p>
      <w:pPr>
        <w:pStyle w:val="ListParagraph"/>
        <w:spacing w:lineRule="auto" w:line="360"/>
        <w:ind w:left="360" w:hanging="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b/>
          <w:color w:val="000000"/>
          <w:sz w:val="24"/>
          <w:szCs w:val="24"/>
        </w:rPr>
        <w:t>OCENA OGÓLNEJ SYTUACJI NA RYNKU KONTROLOWANYCH WYROBÓW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Każde skontrolowane elektronarzędzie oznakowane było znakiem CE oraz wyposażone było w deklarację zgodności, instrukcję obsługi i instrukcję ogólnego bezpieczeństwa.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Siedem na osiem kontrolowanych elektronarzędzi oznakowane było w sposób zgodny z deklarowaną normą oraz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rozporządzeniem MG. </w:t>
      </w:r>
      <w:r>
        <w:rPr>
          <w:rFonts w:cs="Arial" w:ascii="Palatino Linotype" w:hAnsi="Palatino Linotype"/>
          <w:color w:val="000000"/>
          <w:sz w:val="24"/>
          <w:szCs w:val="24"/>
        </w:rPr>
        <w:t>W jednym przypadku stwierdzono uchybienia dotyczące oznakowania.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W przypadku trzech skontrolowanych wyrobów (maszyny z poz. 2, 5, 8) stwierdzono w instrukcjach ogólnego bezpieczeństwa stosowanie zapisów wymaganych nowszą normą niż norma deklarowana. Sytuacja ta wynika zapewne z okresu przejściowego między normą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PN-EN 60745-1, </w:t>
      </w:r>
      <w:r>
        <w:rPr>
          <w:rFonts w:cs="Arial" w:ascii="Palatino Linotype" w:hAnsi="Palatino Linotype"/>
          <w:color w:val="000000"/>
          <w:sz w:val="24"/>
          <w:szCs w:val="24"/>
        </w:rPr>
        <w:t xml:space="preserve">a nowszą normą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PN-EN 62841-1 </w:t>
      </w:r>
      <w:r>
        <w:rPr>
          <w:rFonts w:cs="Arial" w:ascii="Palatino Linotype" w:hAnsi="Palatino Linotype"/>
          <w:color w:val="000000"/>
          <w:sz w:val="24"/>
          <w:szCs w:val="24"/>
        </w:rPr>
        <w:t>oraz z rekomendacji komitetu IEC o możliwości stosowania w instrukcjach zapisów nowszej normy (w określonych punktach, np. dotyczących bezpieczeństwa).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dwóch kolejnych przypadkach (maszyny z poz. 3, 4) stwierdzono drobne uchybienia w instrukcji związane z brakiem rekomendacji ostrzeżenia wymaganego deklarowaną normą.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/>
          <w:bCs/>
          <w:sz w:val="18"/>
          <w:szCs w:val="18"/>
          <w:u w:val="single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instrukcjach obsługi oraz bezpieczeństwa siedmiu z ośmiu skontrolowanych elektronarzędzi stwierdzono błędy wynikające z tłumaczenia instrukcji oryginalnej na język polski.</w:t>
      </w:r>
    </w:p>
    <w:sectPr>
      <w:footerReference w:type="default" r:id="rId5"/>
      <w:type w:val="nextPage"/>
      <w:pgSz w:w="11906" w:h="16838"/>
      <w:pgMar w:left="1134" w:right="1134" w:header="0" w:top="1134" w:footer="851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Palatino Linotyp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  <w:rFonts w:ascii="Palatino Linotype" w:hAnsi="Palatino Linotyp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lowerLetter"/>
      <w:lvlText w:val="%1)"/>
      <w:lvlJc w:val="left"/>
      <w:pPr>
        <w:ind w:left="360" w:hanging="360"/>
      </w:pPr>
      <w:rPr>
        <w:sz w:val="24"/>
        <w:u w:val="none"/>
        <w:b w:val="false"/>
        <w:rFonts w:ascii="Palatino Linotype" w:hAnsi="Palatino Linotype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outlineLvl w:val="1"/>
      <w:outlineLvl w:val="1"/>
    </w:pPr>
    <w:rPr>
      <w:b/>
      <w:sz w:val="24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80808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Domylnaczcionkaakapitu1" w:customStyle="1">
    <w:name w:val="Domyślna czcionka akapitu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WW8Num7z4" w:customStyle="1">
    <w:name w:val="WW8Num7z4"/>
    <w:qFormat/>
    <w:rPr>
      <w:rFonts w:ascii="Courier New" w:hAnsi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9z3" w:customStyle="1">
    <w:name w:val="WW8Num9z3"/>
    <w:qFormat/>
    <w:rPr>
      <w:rFonts w:ascii="Symbol" w:hAnsi="Symbol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>
      <w:rFonts w:ascii="Palatino Linotype" w:hAnsi="Palatino Linotype"/>
      <w:b w:val="false"/>
      <w:bCs w:val="false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a65c8a"/>
    <w:rPr>
      <w:rFonts w:ascii="Segoe UI" w:hAnsi="Segoe UI" w:cs="Segoe UI"/>
      <w:sz w:val="18"/>
      <w:szCs w:val="18"/>
    </w:rPr>
  </w:style>
  <w:style w:type="character" w:styleId="Domylnaczcionkaakapitu2" w:customStyle="1">
    <w:name w:val="Domyślna czcionka akapitu2"/>
    <w:qFormat/>
    <w:rsid w:val="007478ab"/>
    <w:rPr/>
  </w:style>
  <w:style w:type="character" w:styleId="WW8Num10z0" w:customStyle="1">
    <w:name w:val="WW8Num10z0"/>
    <w:qFormat/>
    <w:rsid w:val="00b91498"/>
    <w:rPr>
      <w:rFonts w:ascii="Wingdings" w:hAnsi="Wingdings"/>
    </w:rPr>
  </w:style>
  <w:style w:type="character" w:styleId="Wyrnienie">
    <w:name w:val="Wyróżnienie"/>
    <w:uiPriority w:val="20"/>
    <w:qFormat/>
    <w:rsid w:val="00de38fb"/>
    <w:rPr>
      <w:i/>
      <w:iCs/>
    </w:rPr>
  </w:style>
  <w:style w:type="character" w:styleId="WWAbsatzStandardschriftart11111" w:customStyle="1">
    <w:name w:val="WW-Absatz-Standardschriftart11111"/>
    <w:qFormat/>
    <w:rsid w:val="003f43c2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825cf"/>
    <w:rPr/>
  </w:style>
  <w:style w:type="character" w:styleId="Mocnowyrniony" w:customStyle="1">
    <w:name w:val="Mocno wyróżniony"/>
    <w:qFormat/>
    <w:rsid w:val="00ed2715"/>
    <w:rPr>
      <w:b/>
      <w:bCs/>
    </w:rPr>
  </w:style>
  <w:style w:type="character" w:styleId="ListLabel1">
    <w:name w:val="ListLabel 1"/>
    <w:qFormat/>
    <w:rPr>
      <w:rFonts w:ascii="Palatino Linotype" w:hAnsi="Palatino Linotype"/>
      <w:b w:val="false"/>
      <w:bCs w:val="false"/>
      <w:sz w:val="24"/>
      <w:szCs w:val="22"/>
    </w:rPr>
  </w:style>
  <w:style w:type="character" w:styleId="ListLabel2">
    <w:name w:val="ListLabel 2"/>
    <w:qFormat/>
    <w:rPr>
      <w:b/>
      <w:bCs w:val="false"/>
      <w:color w:val="000000"/>
      <w:sz w:val="22"/>
      <w:szCs w:val="22"/>
    </w:rPr>
  </w:style>
  <w:style w:type="character" w:styleId="ListLabel3">
    <w:name w:val="ListLabel 3"/>
    <w:qFormat/>
    <w:rPr>
      <w:b/>
      <w:bCs w:val="false"/>
      <w:sz w:val="22"/>
      <w:szCs w:val="22"/>
    </w:rPr>
  </w:style>
  <w:style w:type="character" w:styleId="ListLabel4">
    <w:name w:val="ListLabel 4"/>
    <w:qFormat/>
    <w:rPr>
      <w:b w:val="false"/>
      <w:bCs w:val="false"/>
      <w:sz w:val="22"/>
      <w:szCs w:val="22"/>
    </w:rPr>
  </w:style>
  <w:style w:type="character" w:styleId="ListLabel5">
    <w:name w:val="ListLabel 5"/>
    <w:qFormat/>
    <w:rPr>
      <w:b w:val="false"/>
      <w:bCs w:val="false"/>
      <w:sz w:val="22"/>
      <w:szCs w:val="22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b w:val="false"/>
      <w:bCs w:val="false"/>
      <w:sz w:val="22"/>
      <w:szCs w:val="22"/>
    </w:rPr>
  </w:style>
  <w:style w:type="character" w:styleId="ListLabel8">
    <w:name w:val="ListLabel 8"/>
    <w:qFormat/>
    <w:rPr>
      <w:b w:val="false"/>
      <w:bCs w:val="false"/>
      <w:sz w:val="22"/>
      <w:szCs w:val="22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Palatino Linotype" w:hAnsi="Palatino Linotype"/>
      <w:b/>
      <w:sz w:val="24"/>
    </w:rPr>
  </w:style>
  <w:style w:type="character" w:styleId="ListLabel17">
    <w:name w:val="ListLabel 17"/>
    <w:qFormat/>
    <w:rPr>
      <w:rFonts w:eastAsia="Times New Roman" w:cs="Palatino Linotype"/>
      <w:b/>
      <w:color w:val="00000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/>
      <w:bCs w:val="false"/>
      <w:sz w:val="22"/>
      <w:szCs w:val="22"/>
    </w:rPr>
  </w:style>
  <w:style w:type="character" w:styleId="ListLabel25">
    <w:name w:val="ListLabel 25"/>
    <w:qFormat/>
    <w:rPr>
      <w:b/>
      <w:bCs w:val="false"/>
      <w:sz w:val="22"/>
      <w:szCs w:val="22"/>
    </w:rPr>
  </w:style>
  <w:style w:type="character" w:styleId="ListLabel26">
    <w:name w:val="ListLabel 26"/>
    <w:qFormat/>
    <w:rPr>
      <w:b/>
      <w:bCs w:val="false"/>
      <w:sz w:val="22"/>
      <w:szCs w:val="22"/>
    </w:rPr>
  </w:style>
  <w:style w:type="character" w:styleId="ListLabel27">
    <w:name w:val="ListLabel 27"/>
    <w:qFormat/>
    <w:rPr>
      <w:b w:val="false"/>
      <w:bCs w:val="false"/>
      <w:sz w:val="22"/>
      <w:szCs w:val="22"/>
    </w:rPr>
  </w:style>
  <w:style w:type="character" w:styleId="ListLabel28">
    <w:name w:val="ListLabel 28"/>
    <w:qFormat/>
    <w:rPr>
      <w:b w:val="false"/>
      <w:bCs w:val="false"/>
      <w:sz w:val="22"/>
      <w:szCs w:val="22"/>
    </w:rPr>
  </w:style>
  <w:style w:type="character" w:styleId="ListLabel29">
    <w:name w:val="ListLabel 29"/>
    <w:qFormat/>
    <w:rPr>
      <w:b w:val="false"/>
      <w:bCs w:val="false"/>
      <w:sz w:val="22"/>
      <w:szCs w:val="22"/>
    </w:rPr>
  </w:style>
  <w:style w:type="character" w:styleId="ListLabel30">
    <w:name w:val="ListLabel 30"/>
    <w:qFormat/>
    <w:rPr>
      <w:b w:val="false"/>
      <w:bCs w:val="false"/>
      <w:sz w:val="22"/>
      <w:szCs w:val="22"/>
    </w:rPr>
  </w:style>
  <w:style w:type="character" w:styleId="ListLabel31">
    <w:name w:val="ListLabel 31"/>
    <w:qFormat/>
    <w:rPr>
      <w:b w:val="false"/>
      <w:bCs w:val="false"/>
      <w:sz w:val="22"/>
      <w:szCs w:val="22"/>
    </w:rPr>
  </w:style>
  <w:style w:type="character" w:styleId="ListLabel32">
    <w:name w:val="ListLabel 32"/>
    <w:qFormat/>
    <w:rPr>
      <w:b w:val="false"/>
      <w:bCs w:val="false"/>
      <w:sz w:val="22"/>
      <w:szCs w:val="22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Palatino Linotype"/>
      <w:color w:val="000000"/>
    </w:rPr>
  </w:style>
  <w:style w:type="character" w:styleId="ListLabel66">
    <w:name w:val="ListLabel 66"/>
    <w:qFormat/>
    <w:rPr>
      <w:rFonts w:ascii="Palatino Linotype" w:hAnsi="Palatino Linotype"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Palatino Linotype" w:hAnsi="Palatino Linotype"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ascii="Palatino Linotype" w:hAnsi="Palatino Linotype"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ascii="Palatino Linotype" w:hAnsi="Palatino Linotype"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ascii="Palatino Linotype" w:hAnsi="Palatino Linotype"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Palatino Linotype" w:hAnsi="Palatino Linotype" w:cs="Courier New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ascii="Palatino Linotype" w:hAnsi="Palatino Linotype"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Palatino Linotype" w:hAnsi="Palatino Linotype" w:cs="Courier New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Palatino Linotype" w:hAnsi="Palatino Linotype" w:cs="Courier New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Palatino Linotype" w:hAnsi="Palatino Linotype"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Palatino Linotype" w:hAnsi="Palatino Linotype"/>
      <w:b w:val="false"/>
      <w:color w:val="00000A"/>
      <w:sz w:val="24"/>
      <w:u w:val="none"/>
    </w:rPr>
  </w:style>
  <w:style w:type="character" w:styleId="ListLabel131">
    <w:name w:val="ListLabel 131"/>
    <w:qFormat/>
    <w:rPr>
      <w:rFonts w:ascii="Palatino Linotype" w:hAnsi="Palatino Linotype"/>
      <w:b w:val="false"/>
      <w:color w:val="00000A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awartoramki" w:customStyle="1">
    <w:name w:val="Zawartość ramki"/>
    <w:basedOn w:val="Tretekstu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pPr>
      <w:ind w:firstLine="756"/>
    </w:pPr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qFormat/>
    <w:rsid w:val="00aa329b"/>
    <w:pPr>
      <w:suppressAutoHyphens w:val="false"/>
      <w:spacing w:beforeAutospacing="1"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5c8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5a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478a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aa-ET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Application>LibreOffice/5.3.2.2$Windows_x86 LibreOffice_project/6cd4f1ef626f15116896b1d8e1398b56da0d0ee1</Application>
  <Pages>15</Pages>
  <Words>3554</Words>
  <Characters>20927</Characters>
  <CharactersWithSpaces>24512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2018-07-02T11:34:00Z</dcterms:created>
  <dc:creator>OT-PIH</dc:creator>
  <dc:description/>
  <dc:language>pl-PL</dc:language>
  <cp:lastModifiedBy/>
  <cp:lastPrinted>2018-07-10T12:53:00Z</cp:lastPrinted>
  <dcterms:modified xsi:type="dcterms:W3CDTF">2020-02-17T07:49:26Z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