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wynikach kontroli bezpieczeństwa zabawek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>
        <w:rPr>
          <w:sz w:val="24"/>
          <w:szCs w:val="24"/>
        </w:rPr>
        <w:t xml:space="preserve"> I kwartał 2020 rok 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Cel kontroli:</w:t>
      </w:r>
      <w:r>
        <w:rPr>
          <w:sz w:val="24"/>
          <w:szCs w:val="24"/>
        </w:rPr>
        <w:t xml:space="preserve"> ocena, czy wprowadzone do obrotu zabawki spełniają wymagania określone w przepisach rozporządzenia Ministra Rozwoju i Finansów z dnia 20 października 2016 r. w sprawie wymagań dla zabawek</w:t>
      </w:r>
      <w:r>
        <w:rPr>
          <w:rStyle w:val="Zakotwicze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oraz czy występują niezgodności formalne w rozumieniu art. 4 pkt 12a ustawy z dnia 13 kwietnia 2016 r. o systemach oceny zgodności i nadzoru rynku</w:t>
      </w:r>
      <w:r>
        <w:rPr>
          <w:rStyle w:val="Zakotwicze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, w zakresie w jakim odnoszą się do zabawek. 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Wyniki kontroli</w:t>
      </w:r>
      <w:r>
        <w:rPr>
          <w:sz w:val="24"/>
          <w:szCs w:val="24"/>
        </w:rPr>
        <w:t xml:space="preserve">: </w:t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107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"/>
        <w:gridCol w:w="2146"/>
        <w:gridCol w:w="1672"/>
        <w:gridCol w:w="1672"/>
        <w:gridCol w:w="1903"/>
        <w:gridCol w:w="1903"/>
        <w:gridCol w:w="899"/>
      </w:tblGrid>
      <w:tr>
        <w:trPr>
          <w:trHeight w:val="1127" w:hRule="atLeast"/>
        </w:trPr>
        <w:tc>
          <w:tcPr>
            <w:tcW w:w="2721" w:type="dxa"/>
            <w:gridSpan w:val="2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Rodzaj podmiotu kontrolowanego</w:t>
            </w:r>
          </w:p>
        </w:tc>
        <w:tc>
          <w:tcPr>
            <w:tcW w:w="1672" w:type="dxa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Liczba skontrolowanych podmiotów danego rodzaju</w:t>
            </w:r>
          </w:p>
        </w:tc>
        <w:tc>
          <w:tcPr>
            <w:tcW w:w="1672" w:type="dxa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Liczba skontrolowanych zabawek</w:t>
            </w:r>
          </w:p>
        </w:tc>
        <w:tc>
          <w:tcPr>
            <w:tcW w:w="1903" w:type="dxa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Liczba zakwestionowanych zabawek</w:t>
            </w:r>
          </w:p>
        </w:tc>
        <w:tc>
          <w:tcPr>
            <w:tcW w:w="1903" w:type="dxa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Procentowy udział zakwestionowanych zabawek</w:t>
            </w:r>
          </w:p>
        </w:tc>
        <w:tc>
          <w:tcPr>
            <w:tcW w:w="899" w:type="dxa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Uwaga*</w:t>
            </w:r>
          </w:p>
        </w:tc>
      </w:tr>
      <w:tr>
        <w:trPr>
          <w:trHeight w:val="549" w:hRule="atLeast"/>
        </w:trPr>
        <w:tc>
          <w:tcPr>
            <w:tcW w:w="2721" w:type="dxa"/>
            <w:gridSpan w:val="2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9" w:hRule="atLeast"/>
        </w:trPr>
        <w:tc>
          <w:tcPr>
            <w:tcW w:w="2721" w:type="dxa"/>
            <w:gridSpan w:val="2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Importer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7" w:hRule="atLeast"/>
        </w:trPr>
        <w:tc>
          <w:tcPr>
            <w:tcW w:w="575" w:type="dxa"/>
            <w:vMerge w:val="restart"/>
            <w:tcBorders/>
            <w:shd w:color="auto" w:fill="C6D9F1" w:themeFill="text2" w:themeFillTint="33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before="12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Dystrybutor</w:t>
            </w:r>
          </w:p>
        </w:tc>
        <w:tc>
          <w:tcPr>
            <w:tcW w:w="2146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Sprzedawca hurtowy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5" w:hRule="atLeast"/>
        </w:trPr>
        <w:tc>
          <w:tcPr>
            <w:tcW w:w="575" w:type="dxa"/>
            <w:vMerge w:val="continue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46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Sklep detaliczny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33,33%</w:t>
            </w:r>
          </w:p>
        </w:tc>
        <w:tc>
          <w:tcPr>
            <w:tcW w:w="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70" w:hRule="atLeast"/>
        </w:trPr>
        <w:tc>
          <w:tcPr>
            <w:tcW w:w="575" w:type="dxa"/>
            <w:vMerge w:val="continue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46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Sklep wielkopowierzchniowy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721" w:type="dxa"/>
            <w:gridSpan w:val="2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Łącznie :</w:t>
            </w:r>
          </w:p>
          <w:p>
            <w:pPr>
              <w:pStyle w:val="Normal"/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="120" w:after="0"/>
        <w:jc w:val="both"/>
        <w:rPr>
          <w:i/>
          <w:i/>
        </w:rPr>
      </w:pPr>
      <w:r>
        <w:rPr>
          <w:b/>
          <w:sz w:val="24"/>
          <w:szCs w:val="24"/>
        </w:rPr>
        <w:t>*</w:t>
      </w:r>
      <w:r>
        <w:rPr>
          <w:i/>
        </w:rPr>
        <w:t>W przypadku dystrybutora, w kolumnie „Uwagi” prosimy wpisać czy to pierwszy dystrybutor na terenie Polski.</w:t>
      </w:r>
    </w:p>
    <w:p>
      <w:pPr>
        <w:pStyle w:val="Normal"/>
        <w:spacing w:before="120" w:after="0"/>
        <w:jc w:val="both"/>
        <w:rPr>
          <w:i/>
          <w:i/>
        </w:rPr>
      </w:pPr>
      <w:r>
        <w:rPr>
          <w:i/>
        </w:rPr>
      </w:r>
    </w:p>
    <w:p>
      <w:pPr>
        <w:pStyle w:val="Normal"/>
        <w:spacing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Pochodzenie skontrolowanych zabawek:</w:t>
      </w:r>
    </w:p>
    <w:p>
      <w:pPr>
        <w:pStyle w:val="ListParagraph"/>
        <w:numPr>
          <w:ilvl w:val="0"/>
          <w:numId w:val="2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 Polska</w:t>
      </w:r>
    </w:p>
    <w:p>
      <w:pPr>
        <w:pStyle w:val="ListParagraph"/>
        <w:numPr>
          <w:ilvl w:val="0"/>
          <w:numId w:val="2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 Inne kraje UE</w:t>
      </w:r>
    </w:p>
    <w:p>
      <w:pPr>
        <w:pStyle w:val="ListParagraph"/>
        <w:numPr>
          <w:ilvl w:val="0"/>
          <w:numId w:val="2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 Import</w:t>
      </w:r>
    </w:p>
    <w:p>
      <w:pPr>
        <w:pStyle w:val="ListParagraph"/>
        <w:numPr>
          <w:ilvl w:val="0"/>
          <w:numId w:val="2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 Nieustalone </w:t>
      </w:r>
    </w:p>
    <w:p>
      <w:pPr>
        <w:pStyle w:val="Normal"/>
        <w:spacing w:before="24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Stwierdzono następujące niezgodności formalne : </w:t>
      </w:r>
    </w:p>
    <w:p>
      <w:pPr>
        <w:pStyle w:val="Normal"/>
        <w:numPr>
          <w:ilvl w:val="0"/>
          <w:numId w:val="1"/>
        </w:numPr>
        <w:spacing w:before="120" w:after="120"/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>brak słowa „</w:t>
      </w:r>
      <w:r>
        <w:rPr>
          <w:i/>
          <w:color w:val="000000" w:themeColor="text1"/>
          <w:sz w:val="24"/>
          <w:szCs w:val="24"/>
        </w:rPr>
        <w:t>OSTRZEŻENIE” przed „0-3” -  w 1 przypadku;</w:t>
      </w:r>
    </w:p>
    <w:p>
      <w:pPr>
        <w:pStyle w:val="Normal"/>
        <w:numPr>
          <w:ilvl w:val="0"/>
          <w:numId w:val="1"/>
        </w:numPr>
        <w:spacing w:before="120" w:after="120"/>
        <w:jc w:val="both"/>
        <w:rPr>
          <w:i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brak wskazania ryzyka – w 1 przypadku.</w:t>
      </w:r>
    </w:p>
    <w:p>
      <w:pPr>
        <w:pStyle w:val="Normal"/>
        <w:spacing w:before="12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2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Badania laboratoryjne</w:t>
      </w:r>
      <w:r>
        <w:rPr>
          <w:sz w:val="24"/>
          <w:szCs w:val="24"/>
        </w:rPr>
        <w:t xml:space="preserve"> :</w:t>
      </w:r>
    </w:p>
    <w:p>
      <w:pPr>
        <w:pStyle w:val="Normal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Łącznie przebadano 4 zabawki i nie zakwestionowano żadnej z nich.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Specjalistycznym Laboratorium Badania Zabawek w Lublinie </w:t>
      </w:r>
      <w:r>
        <w:rPr>
          <w:sz w:val="24"/>
          <w:szCs w:val="24"/>
        </w:rPr>
        <w:t>przeprowadzono łącznie badania 4 próbek zabawek, które nie wykazały niezgodności w zakresie konstrukcji, wykonania i zastosowanych materiałów.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Działania Inspekcji Handlowej:</w:t>
      </w:r>
      <w:r>
        <w:rPr>
          <w:sz w:val="24"/>
          <w:szCs w:val="24"/>
        </w:rPr>
        <w:t xml:space="preserve"> w przypadku niezgodności formalnych inspektorzy IH wezwali jednego przedsiębiorcę do podjęcia dobrowolnych działań naprawczych. Do dnia wysłania informacji kwartalnej, do tutejszego inspektoratu nie wpłynęło pismo P.P.H.U. Arpax s.c., ul. Kopalniana 12 w Częstochowie, </w:t>
      </w:r>
      <w:r>
        <w:rPr>
          <w:color w:val="000000" w:themeColor="text1"/>
          <w:sz w:val="24"/>
          <w:szCs w:val="24"/>
        </w:rPr>
        <w:t xml:space="preserve">w sprawie </w:t>
      </w:r>
      <w:r>
        <w:rPr>
          <w:rFonts w:ascii="Palatino Linotype" w:hAnsi="Palatino Linotype"/>
          <w:sz w:val="22"/>
          <w:szCs w:val="22"/>
        </w:rPr>
        <w:t>usunięcia niezgodności formalnych (termin odpowiedzi do 29 maja 2020r.).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Inspektorzy nie wydawali opinii o zabawkach do organów celnych.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Działania UOKiK:</w:t>
      </w:r>
      <w:r>
        <w:rPr>
          <w:sz w:val="24"/>
          <w:szCs w:val="24"/>
        </w:rPr>
        <w:t xml:space="preserve"> inspektorzy IH nie skierowali do Prezesa UOKiK żadnych akt kontroli z wnioskiem o wszczęcie postępowania administracyjnego.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Wnioski:</w:t>
      </w:r>
      <w:r>
        <w:rPr>
          <w:sz w:val="24"/>
          <w:szCs w:val="24"/>
        </w:rPr>
        <w:t xml:space="preserve"> </w:t>
        <w:br/>
        <w:t>We wszystkich produktach poddanych badaniom laboratoryjnym nie stwierdzono niezgodności w zakresie konstrukcji, wykonania i zastosowanych materiałów.</w:t>
      </w:r>
    </w:p>
    <w:p>
      <w:pPr>
        <w:pStyle w:val="Normal"/>
        <w:tabs>
          <w:tab w:val="left" w:pos="426" w:leader="none"/>
        </w:tabs>
        <w:spacing w:before="120" w:after="0"/>
        <w:jc w:val="both"/>
        <w:rPr/>
      </w:pPr>
      <w:r>
        <w:rPr>
          <w:sz w:val="24"/>
          <w:szCs w:val="24"/>
        </w:rPr>
        <w:t>Jeden spośród pięciu produktów nie spełniał wymagań w zakresie oznakowania.</w:t>
      </w:r>
    </w:p>
    <w:p>
      <w:pPr>
        <w:pStyle w:val="Tretekstu"/>
        <w:spacing w:before="240" w:after="0"/>
        <w:jc w:val="both"/>
        <w:rPr/>
      </w:pPr>
      <w:r>
        <w:rPr/>
      </w:r>
    </w:p>
    <w:p>
      <w:pPr>
        <w:pStyle w:val="Tretekstu"/>
        <w:spacing w:before="240" w:after="0"/>
        <w:jc w:val="both"/>
        <w:rPr/>
      </w:pPr>
      <w:r>
        <w:rPr/>
      </w:r>
    </w:p>
    <w:p>
      <w:pPr>
        <w:pStyle w:val="Tretekstu"/>
        <w:spacing w:before="240" w:after="0"/>
        <w:jc w:val="both"/>
        <w:rPr>
          <w:u w:val="dotted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4" w:header="709" w:top="1418" w:footer="709" w:bottom="993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Palatino Linotyp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>Dz. U. poz. 1730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Dz. U. z 2019 r., poz. 544; dalej : uosozinr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1" w:color="00000A"/>
      </w:pBdr>
      <w:tabs>
        <w:tab w:val="left" w:pos="2175" w:leader="none"/>
        <w:tab w:val="right" w:pos="9214" w:leader="none"/>
      </w:tabs>
      <w:spacing w:before="120" w:after="0"/>
      <w:jc w:val="right"/>
      <w:rPr/>
    </w:pPr>
    <w:r>
      <w:rPr>
        <w:rFonts w:ascii="Palatino Linotype" w:hAnsi="Palatino Linotype"/>
      </w:rPr>
      <w:tab/>
      <w:tab/>
    </w:r>
  </w:p>
  <w:p>
    <w:pPr>
      <w:pStyle w:val="Normal"/>
      <w:pBdr>
        <w:bottom w:val="single" w:sz="6" w:space="1" w:color="00000A"/>
      </w:pBdr>
      <w:tabs>
        <w:tab w:val="left" w:pos="2175" w:leader="none"/>
        <w:tab w:val="right" w:pos="9214" w:leader="none"/>
      </w:tabs>
      <w:spacing w:before="120" w:after="0"/>
      <w:rPr/>
    </w:pPr>
    <w:r>
      <w:rPr/>
      <w:tab/>
      <w:t xml:space="preserve">                                                                                           WIIH KIELCE, 15.05.2020 r.</w:t>
    </w:r>
  </w:p>
  <w:p>
    <w:pPr>
      <w:pStyle w:val="Normal"/>
      <w:pBdr>
        <w:bottom w:val="single" w:sz="6" w:space="1" w:color="00000A"/>
      </w:pBdr>
      <w:tabs>
        <w:tab w:val="left" w:pos="2685" w:leader="none"/>
        <w:tab w:val="left" w:pos="2790" w:leader="none"/>
      </w:tabs>
      <w:spacing w:before="0" w:after="240"/>
      <w:rPr>
        <w:rFonts w:ascii="Tahoma" w:hAnsi="Tahoma" w:cs="Tahoma"/>
        <w:sz w:val="18"/>
        <w:szCs w:val="18"/>
      </w:rPr>
    </w:pPr>
    <w:r>
      <w:rPr>
        <w:rFonts w:ascii="Palatino Linotype" w:hAnsi="Palatino Linotype"/>
      </w:rPr>
      <w:tab/>
    </w:r>
    <w:r>
      <w:drawing>
        <wp:anchor behindDoc="1" distT="0" distB="0" distL="133350" distR="114300" simplePos="0" locked="0" layoutInCell="1" allowOverlap="1" relativeHeight="3">
          <wp:simplePos x="0" y="0"/>
          <wp:positionH relativeFrom="column">
            <wp:posOffset>-414020</wp:posOffset>
          </wp:positionH>
          <wp:positionV relativeFrom="page">
            <wp:posOffset>209550</wp:posOffset>
          </wp:positionV>
          <wp:extent cx="1295400" cy="685800"/>
          <wp:effectExtent l="0" t="0" r="0" b="0"/>
          <wp:wrapNone/>
          <wp:docPr id="1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alatino Linotype" w:hAnsi="Palatino Linotype"/>
      </w:rPr>
      <w:tab/>
    </w:r>
    <w:r>
      <w:rPr>
        <w:rFonts w:ascii="Palatino Linotype" w:hAnsi="Palatino Linotype"/>
      </w:rPr>
      <w:tab/>
      <w:tab/>
      <w:tab/>
      <w:tab/>
      <w:t xml:space="preserve">                              </w:t>
    </w:r>
    <w:r>
      <w:rPr>
        <w:rFonts w:cs="Tahoma" w:ascii="Tahoma" w:hAnsi="Tahoma"/>
        <w:sz w:val="18"/>
        <w:szCs w:val="18"/>
      </w:rPr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3bc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3bc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3bca"/>
    <w:rPr/>
  </w:style>
  <w:style w:type="character" w:styleId="TekstpodstawowyZnak" w:customStyle="1">
    <w:name w:val="Tekst podstawowy Znak"/>
    <w:basedOn w:val="DefaultParagraphFont"/>
    <w:link w:val="Tekstpodstawowy"/>
    <w:qFormat/>
    <w:rsid w:val="00283bc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283bc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qFormat/>
    <w:rsid w:val="00283bca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3bca"/>
    <w:rPr>
      <w:rFonts w:ascii="Tahoma" w:hAnsi="Tahoma" w:eastAsia="Times New Roman" w:cs="Tahoma"/>
      <w:sz w:val="16"/>
      <w:szCs w:val="16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63b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c63b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c63b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eb002a"/>
    <w:rPr>
      <w:color w:val="0000FF"/>
      <w:u w:val="single"/>
    </w:rPr>
  </w:style>
  <w:style w:type="character" w:styleId="ListLabel1">
    <w:name w:val="ListLabel 1"/>
    <w:qFormat/>
    <w:rPr>
      <w:color w:val="00000A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b/>
      <w:i/>
      <w:sz w:val="24"/>
      <w:szCs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eastAsia="Times New Roman" w:cs="Times New Roman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Times New Roman"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283bca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283bc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83bca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uiPriority w:val="99"/>
    <w:qFormat/>
    <w:rsid w:val="00283bca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3bca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c63b1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c63b1"/>
    <w:pPr/>
    <w:rPr>
      <w:b/>
      <w:bCs/>
    </w:rPr>
  </w:style>
  <w:style w:type="paragraph" w:styleId="NagwekIII" w:customStyle="1">
    <w:name w:val="Nagłówek III"/>
    <w:basedOn w:val="Normal"/>
    <w:qFormat/>
    <w:rsid w:val="00384e0f"/>
    <w:pPr>
      <w:tabs>
        <w:tab w:val="left" w:pos="567" w:leader="none"/>
      </w:tabs>
      <w:jc w:val="both"/>
    </w:pPr>
    <w:rPr>
      <w:rFonts w:ascii="Bookman Old Style" w:hAnsi="Bookman Old Style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5426e5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a20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8ED5A-210F-44F9-BF9D-9AA450CC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Application>LibreOffice/5.3.2.2$Windows_x86 LibreOffice_project/6cd4f1ef626f15116896b1d8e1398b56da0d0ee1</Application>
  <Pages>2</Pages>
  <Words>342</Words>
  <Characters>2059</Characters>
  <CharactersWithSpaces>2472</CharactersWithSpaces>
  <Paragraphs>65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2020-01-13T13:55:00Z</dcterms:created>
  <dc:creator>edomanska</dc:creator>
  <dc:description/>
  <dc:language>pl-PL</dc:language>
  <cp:lastModifiedBy/>
  <cp:lastPrinted>2020-05-14T10:22:00Z</cp:lastPrinted>
  <dcterms:modified xsi:type="dcterms:W3CDTF">2020-08-07T14:56:54Z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