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wynikach kontroli bezpieczeństwa zabawek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I kwartał 2020 rok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kontroli:</w:t>
      </w:r>
      <w:r>
        <w:rPr>
          <w:sz w:val="24"/>
          <w:szCs w:val="24"/>
        </w:rPr>
        <w:t xml:space="preserve"> ocena, czy wprowadzone do obrotu zabawki spełniają wymagania określone w przepisach rozporządzenia Ministra Rozwoju i Finansów z dnia 20 października 2016 r. w sprawie wymagań dla zabawek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oraz czy występują niezgodności formalne w rozumieniu art. 4 pkt 12a ustawy z dnia 13 kwietnia 2016 r. o systemach oceny zgodności i nadzoru rynku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, w zakresie w jakim odnoszą się do zabawek.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Wyniki kontroli</w:t>
      </w:r>
      <w:r>
        <w:rPr>
          <w:sz w:val="24"/>
          <w:szCs w:val="24"/>
        </w:rPr>
        <w:t xml:space="preserve">: 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8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2161"/>
        <w:gridCol w:w="1683"/>
        <w:gridCol w:w="1683"/>
        <w:gridCol w:w="1917"/>
        <w:gridCol w:w="1916"/>
        <w:gridCol w:w="905"/>
      </w:tblGrid>
      <w:tr>
        <w:trPr>
          <w:trHeight w:val="1127" w:hRule="atLeast"/>
        </w:trPr>
        <w:tc>
          <w:tcPr>
            <w:tcW w:w="2740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Rodzaj podmiotu kontrolowanego</w:t>
            </w:r>
          </w:p>
        </w:tc>
        <w:tc>
          <w:tcPr>
            <w:tcW w:w="168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skontrolowanych podmiotów danego rodzaju</w:t>
            </w:r>
          </w:p>
        </w:tc>
        <w:tc>
          <w:tcPr>
            <w:tcW w:w="168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skontrolowanych zabawek</w:t>
            </w:r>
          </w:p>
        </w:tc>
        <w:tc>
          <w:tcPr>
            <w:tcW w:w="1917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zakwestionowanych zabawek</w:t>
            </w:r>
          </w:p>
        </w:tc>
        <w:tc>
          <w:tcPr>
            <w:tcW w:w="1916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Procentowy udział zakwestionowanych zabawek</w:t>
            </w:r>
          </w:p>
        </w:tc>
        <w:tc>
          <w:tcPr>
            <w:tcW w:w="905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Uwaga*</w:t>
            </w:r>
          </w:p>
        </w:tc>
      </w:tr>
      <w:tr>
        <w:trPr>
          <w:trHeight w:val="549" w:hRule="atLeast"/>
        </w:trPr>
        <w:tc>
          <w:tcPr>
            <w:tcW w:w="2740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9" w:hRule="atLeast"/>
        </w:trPr>
        <w:tc>
          <w:tcPr>
            <w:tcW w:w="2740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Importer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7" w:hRule="atLeast"/>
        </w:trPr>
        <w:tc>
          <w:tcPr>
            <w:tcW w:w="579" w:type="dxa"/>
            <w:vMerge w:val="restart"/>
            <w:tcBorders/>
            <w:shd w:color="auto" w:fill="C6D9F1" w:themeFill="text2" w:themeFillTint="33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before="12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Dystrybutor</w:t>
            </w:r>
          </w:p>
        </w:tc>
        <w:tc>
          <w:tcPr>
            <w:tcW w:w="2161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Sprzedawca hurtowy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5" w:hRule="atLeast"/>
        </w:trPr>
        <w:tc>
          <w:tcPr>
            <w:tcW w:w="579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Sklep detaliczny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0" w:hRule="atLeast"/>
        </w:trPr>
        <w:tc>
          <w:tcPr>
            <w:tcW w:w="579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Sklep wielkopowierzchniowy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50%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40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Łącznie :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17%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both"/>
        <w:rPr>
          <w:i/>
          <w:i/>
        </w:rPr>
      </w:pPr>
      <w:r>
        <w:rPr>
          <w:b/>
          <w:sz w:val="24"/>
          <w:szCs w:val="24"/>
        </w:rPr>
        <w:t>*</w:t>
      </w:r>
      <w:r>
        <w:rPr>
          <w:i/>
        </w:rPr>
        <w:t>W przypadku dystrybutora, w kolumnie „Uwagi” prosimy wpisać czy to pierwszy dystrybutor na terenie Polski.</w:t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Pochodzenie skontrolowanych zabawek: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 Polska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 Inne kraje UE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 Import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Nieustalone </w:t>
      </w:r>
    </w:p>
    <w:p>
      <w:pPr>
        <w:pStyle w:val="Normal"/>
        <w:spacing w:before="240" w:after="1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Niezgodności formalnych nie stwierdzono</w:t>
      </w:r>
      <w:bookmarkStart w:id="0" w:name="_Hlk37329401"/>
      <w:bookmarkEnd w:id="0"/>
      <w:r>
        <w:rPr>
          <w:bCs/>
          <w:sz w:val="24"/>
          <w:szCs w:val="24"/>
        </w:rPr>
        <w:t>.</w:t>
      </w:r>
    </w:p>
    <w:p>
      <w:pPr>
        <w:pStyle w:val="Normal"/>
        <w:spacing w:before="24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Stwierdzono następujące inne niezgodności polegające na:  </w:t>
      </w:r>
    </w:p>
    <w:p>
      <w:pPr>
        <w:pStyle w:val="ListParagraph"/>
        <w:numPr>
          <w:ilvl w:val="0"/>
          <w:numId w:val="2"/>
        </w:numPr>
        <w:spacing w:before="240" w:after="1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niezasadnym umieszczeniu ostrzeżenia „0-3” i wskazaniu nieistniejącego ryzyka -             w przypadku 1 zabawki.</w:t>
      </w:r>
    </w:p>
    <w:p>
      <w:pPr>
        <w:pStyle w:val="Normal"/>
        <w:spacing w:before="240" w:after="120"/>
        <w:ind w:left="708" w:hanging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Na zabawce </w:t>
      </w:r>
      <w:r>
        <w:rPr>
          <w:bCs/>
          <w:i/>
          <w:iCs/>
          <w:sz w:val="24"/>
          <w:szCs w:val="24"/>
        </w:rPr>
        <w:t>pistolet na baterie</w:t>
      </w:r>
      <w:r>
        <w:rPr>
          <w:bCs/>
          <w:sz w:val="24"/>
          <w:szCs w:val="24"/>
        </w:rPr>
        <w:t xml:space="preserve"> umieszczono z naruszeniem </w:t>
      </w:r>
      <w:bookmarkStart w:id="1" w:name="_Hlk37321084"/>
      <w:r>
        <w:rPr>
          <w:sz w:val="24"/>
          <w:szCs w:val="24"/>
        </w:rPr>
        <w:t xml:space="preserve">§ 5 ust. </w:t>
      </w:r>
      <w:bookmarkEnd w:id="1"/>
      <w:r>
        <w:rPr>
          <w:sz w:val="24"/>
          <w:szCs w:val="24"/>
        </w:rPr>
        <w:t>9 rozporządzenia MRiF ostrzeżenie sprzeczne z przewidywanym jej użytkowaniem typu „0-3”, do</w:t>
      </w:r>
      <w:r>
        <w:rPr>
          <w:rFonts w:ascii="Palatino Linotype" w:hAnsi="Palatino Linotype"/>
          <w:sz w:val="24"/>
          <w:szCs w:val="24"/>
        </w:rPr>
        <w:t xml:space="preserve"> którego </w:t>
      </w:r>
      <w:r>
        <w:rPr>
          <w:sz w:val="24"/>
          <w:szCs w:val="24"/>
        </w:rPr>
        <w:t>dołączono informację o szczególnym zagrożeniu typu „Małe elementy”. Przeprowadzone badania laboratoryjne wykazały, że zabawka ta spełnia wymagania i nie stwarza zagrożenia, w tym zagrożenia szczególnego dołączonego do ostrzeżenia „0-3”;</w:t>
      </w:r>
    </w:p>
    <w:p>
      <w:pPr>
        <w:pStyle w:val="ListParagraph"/>
        <w:numPr>
          <w:ilvl w:val="0"/>
          <w:numId w:val="2"/>
        </w:numPr>
        <w:spacing w:before="240" w:after="1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naruszeniu pkt 7.1.1 normy PN-EN 62115:2005+A12:2015-02 „Zabawki elektryczne - Bezpieczeństwo użytkowania” - w przypadku 1 zabawki.</w:t>
      </w:r>
    </w:p>
    <w:p>
      <w:pPr>
        <w:pStyle w:val="Normal"/>
        <w:spacing w:before="240" w:after="120"/>
        <w:ind w:left="708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Pojemnik na baterie zabawki </w:t>
      </w:r>
      <w:r>
        <w:rPr>
          <w:bCs/>
          <w:i/>
          <w:iCs/>
          <w:sz w:val="24"/>
          <w:szCs w:val="24"/>
        </w:rPr>
        <w:t>pistolet na baterie</w:t>
      </w:r>
      <w:r>
        <w:rPr>
          <w:bCs/>
          <w:sz w:val="24"/>
          <w:szCs w:val="24"/>
        </w:rPr>
        <w:t xml:space="preserve"> nie był oznakowany wymaganymi normą informacjami. Brak tych informacji uznano za niemające wpływu na bezpieczeństwo użytkowania zabawki. W pojemniku na baterie umieszczone były w sposób prawidłowy baterie wymaganego typu, o określonym kształcie i napięciu. Pojemnik był właściwie zabezpieczony przed dostępem do baterii. Do zabawki dołączona była instrukcja obsługi dla zabawek bateryjnych.</w:t>
      </w:r>
    </w:p>
    <w:p>
      <w:pPr>
        <w:pStyle w:val="Normal"/>
        <w:spacing w:before="120" w:after="1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Badania laboratoryjne</w:t>
      </w:r>
      <w:r>
        <w:rPr>
          <w:sz w:val="24"/>
          <w:szCs w:val="24"/>
        </w:rPr>
        <w:t xml:space="preserve"> :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Łącznie przebadano 5 zabawek i nie kwestionowano żadnej z nich.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Specjalistycznym Laboratorium Badania Zabawek w Lublinie </w:t>
      </w:r>
      <w:r>
        <w:rPr>
          <w:sz w:val="24"/>
          <w:szCs w:val="24"/>
        </w:rPr>
        <w:t>przeprowadzono łącznie badania 5 próbek zabawek i nie stwierdzono niezgodności w zakresie konstrukcji, wykonania i zastosowanych materiałów.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Inspekcji Handlowej:</w:t>
      </w:r>
      <w:r>
        <w:rPr>
          <w:sz w:val="24"/>
          <w:szCs w:val="24"/>
        </w:rPr>
        <w:t xml:space="preserve"> Do importera zabawki pistolet na baterie skierowano wystąpienie pokontrolne, w którym zwrócono uwagę przedsiębiorcy na niezgodność zabawki       z wymaganiami § 5 ust. 9 rozporządzenia MRiF oraz pouczono o wymogach znakowania pojemnika na baterie informacjami określonymi w</w:t>
      </w:r>
      <w:r>
        <w:rPr>
          <w:bCs/>
          <w:sz w:val="24"/>
          <w:szCs w:val="24"/>
        </w:rPr>
        <w:t xml:space="preserve"> pkt 7.1.1 normy PN-EN 62115:2005+A12:2015-02.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Inspektorzy nie wydawali opinii o zabawkach do organów celnych.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UOKiK:</w:t>
      </w:r>
      <w:r>
        <w:rPr>
          <w:sz w:val="24"/>
          <w:szCs w:val="24"/>
        </w:rPr>
        <w:t xml:space="preserve"> inspektorzy IH  nie kierowali do Prezesa UOKiK akt kontroli z wnioskiem o wszczęcie postępowania administracyjnego.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Wnioski:</w:t>
      </w:r>
      <w:r>
        <w:rPr>
          <w:sz w:val="24"/>
          <w:szCs w:val="24"/>
        </w:rPr>
        <w:t xml:space="preserve"> </w:t>
        <w:br/>
        <w:t>Porównując wyniki kontroli z bieżącego kwartału do wyników kontroli z IV kwartału 2019 r., należy stwierdzić niewielki wzrost odsetka ujawnionych nieprawidłowości - o 10,2 pkt proc. Podczas poprzedniego kwartału zakwestionowano łącznie 6,8% objętych sprawdzeniem zabawek, a obecny wynik to 17%.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Ujawnione niezgodności dotyczyły oznakowania zabawek, którego brak nie miał wpływu             na bezpieczeństwo użytkowania wyrobu.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bieżącym kwartale nie kwestionowano zabawek ze względu na jakość wykonania, wady konstrukcyjne i niezgodności formalne. 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Uwaga: </w:t>
      </w:r>
      <w:r>
        <w:rPr>
          <w:sz w:val="24"/>
          <w:szCs w:val="24"/>
        </w:rPr>
        <w:t>W związku z zaistniałą sytuacją w kraju - wprowadzenie epidemii, z zaplanowanych      5 kontroli przedsiębiorców, przeprowadzono 3 kontrole. Pozostałe 2 kontrole zostaną przeprowadzone w II kwartale 2020 r.</w:t>
      </w:r>
    </w:p>
    <w:p>
      <w:pPr>
        <w:pStyle w:val="Tretekstu"/>
        <w:spacing w:before="240" w:after="0"/>
        <w:jc w:val="both"/>
        <w:rPr>
          <w:u w:val="dotted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709" w:top="1418" w:footer="709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>Dz. U. poz. 1730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Dz. U. z 2019 r., poz. 544; dalej : uosozinr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jc w:val="right"/>
      <w:rPr/>
    </w:pPr>
    <w:r>
      <w:rPr>
        <w:rFonts w:ascii="Palatino Linotype" w:hAnsi="Palatino Linotype"/>
      </w:rPr>
      <w:tab/>
      <w:tab/>
    </w:r>
    <w:r>
      <w:rPr>
        <w:rFonts w:cs="Tahoma" w:ascii="Tahoma" w:hAnsi="Tahoma"/>
        <w:i/>
      </w:rPr>
      <w:tab/>
    </w:r>
  </w:p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rPr/>
    </w:pPr>
    <w:r>
      <w:rPr/>
      <w:tab/>
      <w:tab/>
      <w:t xml:space="preserve"> WIIH Kielce, 10 kwietnia 2020 r.</w:t>
    </w:r>
  </w:p>
  <w:p>
    <w:pPr>
      <w:pStyle w:val="Normal"/>
      <w:pBdr>
        <w:bottom w:val="single" w:sz="6" w:space="1" w:color="00000A"/>
      </w:pBdr>
      <w:tabs>
        <w:tab w:val="left" w:pos="2685" w:leader="none"/>
        <w:tab w:val="left" w:pos="2790" w:leader="none"/>
      </w:tabs>
      <w:spacing w:before="0" w:after="240"/>
      <w:rPr>
        <w:rFonts w:ascii="Tahoma" w:hAnsi="Tahoma" w:cs="Tahoma"/>
        <w:sz w:val="18"/>
        <w:szCs w:val="18"/>
      </w:rPr>
    </w:pPr>
    <w:r>
      <w:rPr>
        <w:rFonts w:ascii="Palatino Linotype" w:hAnsi="Palatino Linotype"/>
      </w:rPr>
      <w:tab/>
    </w:r>
    <w:r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-414020</wp:posOffset>
          </wp:positionH>
          <wp:positionV relativeFrom="page">
            <wp:posOffset>209550</wp:posOffset>
          </wp:positionV>
          <wp:extent cx="1295400" cy="685800"/>
          <wp:effectExtent l="0" t="0" r="0" b="0"/>
          <wp:wrapNone/>
          <wp:docPr id="1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ab/>
      <w:tab/>
      <w:tab/>
      <w:t xml:space="preserve">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bc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b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bca"/>
    <w:rPr/>
  </w:style>
  <w:style w:type="character" w:styleId="TekstpodstawowyZnak" w:customStyle="1">
    <w:name w:val="Tekst podstawowy Znak"/>
    <w:basedOn w:val="DefaultParagraphFont"/>
    <w:link w:val="Tekstpodstawowy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283b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3bca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6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63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63b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b002a"/>
    <w:rPr>
      <w:color w:val="0000FF"/>
      <w:u w:val="singl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Times New Roman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83bc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uiPriority w:val="99"/>
    <w:qFormat/>
    <w:rsid w:val="00283b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3bc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63b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63b1"/>
    <w:pPr/>
    <w:rPr>
      <w:b/>
      <w:bCs/>
    </w:rPr>
  </w:style>
  <w:style w:type="paragraph" w:styleId="NagwekIII" w:customStyle="1">
    <w:name w:val="Nagłówek III"/>
    <w:basedOn w:val="Normal"/>
    <w:qFormat/>
    <w:rsid w:val="00384e0f"/>
    <w:pPr>
      <w:tabs>
        <w:tab w:val="left" w:pos="567" w:leader="none"/>
      </w:tabs>
      <w:jc w:val="both"/>
    </w:pPr>
    <w:rPr>
      <w:rFonts w:ascii="Bookman Old Style" w:hAnsi="Bookman Old Style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e5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20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C072-09C8-4F40-B747-3F4EC94C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LibreOffice/5.3.2.2$Windows_x86 LibreOffice_project/6cd4f1ef626f15116896b1d8e1398b56da0d0ee1</Application>
  <Pages>2</Pages>
  <Words>543</Words>
  <Characters>3366</Characters>
  <CharactersWithSpaces>4185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2020-04-09T10:59:00Z</dcterms:created>
  <dc:creator>edomanska</dc:creator>
  <dc:description/>
  <dc:language>pl-PL</dc:language>
  <cp:lastModifiedBy/>
  <cp:lastPrinted>2020-04-14T05:56:00Z</cp:lastPrinted>
  <dcterms:modified xsi:type="dcterms:W3CDTF">2020-08-07T14:57:55Z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