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953770</wp:posOffset>
                </wp:positionH>
                <wp:positionV relativeFrom="paragraph">
                  <wp:posOffset>-398780</wp:posOffset>
                </wp:positionV>
                <wp:extent cx="2876550" cy="208915"/>
                <wp:effectExtent l="0" t="0" r="19685" b="2032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040" cy="20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75.1pt;margin-top:-31.4pt;width:226.4pt;height:16.35pt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>INFORMACJA</w:t>
      </w:r>
    </w:p>
    <w:p>
      <w:pPr>
        <w:pStyle w:val="Normal"/>
        <w:spacing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wynikach kontroli bezpieczeństwa zabawek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>
        <w:rPr>
          <w:sz w:val="24"/>
          <w:szCs w:val="24"/>
        </w:rPr>
        <w:t xml:space="preserve"> II kwartał 2019 rok 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Cel kontroli:</w:t>
      </w:r>
      <w:r>
        <w:rPr>
          <w:sz w:val="24"/>
          <w:szCs w:val="24"/>
        </w:rPr>
        <w:t xml:space="preserve"> sprawdzenie i ocena, czy wprowadzone do obrotu zabawki spełniają wymagania określone w przepisach rozporządzenia Ministra Rozwoju i Finansów z dnia 20 października 2016 r. w sprawie wymagań dla zabawek</w:t>
      </w:r>
      <w:r>
        <w:rPr>
          <w:rStyle w:val="Zakotwicze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oraz czy podmioty gospodarcze naruszyły obowiązki wynikające z ustawy z dnia 13 kwietnia 2016 r. o systemach oceny zgodności i nadzoru rynku</w:t>
      </w:r>
      <w:r>
        <w:rPr>
          <w:rStyle w:val="Zakotwicze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. 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Zakres podmiotowy kontroli</w:t>
      </w:r>
      <w:r>
        <w:rPr>
          <w:bCs/>
          <w:sz w:val="24"/>
          <w:szCs w:val="24"/>
        </w:rPr>
        <w:t xml:space="preserve">: kontrolami </w:t>
      </w:r>
      <w:r>
        <w:rPr>
          <w:sz w:val="24"/>
          <w:szCs w:val="24"/>
        </w:rPr>
        <w:t>objęto  6 przedsiębiorców, w tym: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0 producentów,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 importera,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sprzedawców hurtowych, 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placówkę sprzedaży detalicznej, 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 sklep wielkopowierzchniowy.</w:t>
      </w:r>
    </w:p>
    <w:p>
      <w:pPr>
        <w:pStyle w:val="Normal"/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Zakres przedmiotowy kontroli:</w:t>
      </w:r>
      <w:r>
        <w:rPr>
          <w:sz w:val="24"/>
          <w:szCs w:val="24"/>
        </w:rPr>
        <w:t xml:space="preserve"> skontrolowano 53 zabawki.  </w:t>
      </w:r>
    </w:p>
    <w:p>
      <w:pPr>
        <w:pStyle w:val="Normal"/>
        <w:spacing w:before="120" w:after="0"/>
        <w:jc w:val="both"/>
        <w:rPr>
          <w:sz w:val="22"/>
          <w:szCs w:val="22"/>
        </w:rPr>
      </w:pPr>
      <w:r>
        <w:rPr>
          <w:b/>
          <w:sz w:val="24"/>
          <w:szCs w:val="24"/>
        </w:rPr>
        <w:t>Wyniki kontroli</w:t>
      </w:r>
      <w:r>
        <w:rPr>
          <w:sz w:val="24"/>
          <w:szCs w:val="24"/>
        </w:rPr>
        <w:t xml:space="preserve">: </w:t>
      </w:r>
      <w:r>
        <w:rPr>
          <w:sz w:val="22"/>
          <w:szCs w:val="22"/>
        </w:rPr>
        <w:t xml:space="preserve">łącznie zakwestionowano 9  zabawek ( 17 proc. ogółu skontrolowanych). </w:t>
      </w:r>
    </w:p>
    <w:p>
      <w:pPr>
        <w:pStyle w:val="Normal"/>
        <w:spacing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Pochodzenie skontrolowanych zabawek:</w:t>
      </w:r>
    </w:p>
    <w:p>
      <w:pPr>
        <w:pStyle w:val="ListParagraph"/>
        <w:numPr>
          <w:ilvl w:val="0"/>
          <w:numId w:val="3"/>
        </w:numPr>
        <w:spacing w:before="6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  Polska</w:t>
      </w:r>
    </w:p>
    <w:p>
      <w:pPr>
        <w:pStyle w:val="ListParagraph"/>
        <w:numPr>
          <w:ilvl w:val="0"/>
          <w:numId w:val="3"/>
        </w:numPr>
        <w:spacing w:before="6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  Inne kraje UE</w:t>
      </w:r>
    </w:p>
    <w:p>
      <w:pPr>
        <w:pStyle w:val="ListParagraph"/>
        <w:numPr>
          <w:ilvl w:val="0"/>
          <w:numId w:val="3"/>
        </w:numPr>
        <w:spacing w:before="6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48 Import</w:t>
      </w:r>
    </w:p>
    <w:p>
      <w:pPr>
        <w:pStyle w:val="ListParagraph"/>
        <w:numPr>
          <w:ilvl w:val="0"/>
          <w:numId w:val="3"/>
        </w:numPr>
        <w:spacing w:before="6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Nieustalone </w:t>
      </w:r>
    </w:p>
    <w:p>
      <w:pPr>
        <w:pStyle w:val="Normal"/>
        <w:spacing w:before="24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Stwierdzono następujące niezgodności formalne : </w:t>
      </w:r>
    </w:p>
    <w:p>
      <w:pPr>
        <w:pStyle w:val="Normal"/>
        <w:spacing w:before="240" w:after="120"/>
        <w:jc w:val="both"/>
        <w:rPr>
          <w:i/>
          <w:i/>
          <w:color w:val="0070C0"/>
          <w:sz w:val="24"/>
          <w:szCs w:val="24"/>
          <w:u w:val="single"/>
        </w:rPr>
      </w:pPr>
      <w:r>
        <w:rPr>
          <w:i/>
          <w:color w:val="0070C0"/>
          <w:sz w:val="24"/>
          <w:szCs w:val="24"/>
          <w:u w:val="single"/>
        </w:rPr>
        <w:t>PRZYKŁAD:</w:t>
      </w:r>
    </w:p>
    <w:p>
      <w:pPr>
        <w:pStyle w:val="Normal"/>
        <w:numPr>
          <w:ilvl w:val="0"/>
          <w:numId w:val="1"/>
        </w:numPr>
        <w:spacing w:before="120" w:after="12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brak CE -  w 1 przypadku (grzechotka „Sztanga”),</w:t>
      </w:r>
    </w:p>
    <w:p>
      <w:pPr>
        <w:pStyle w:val="Normal"/>
        <w:numPr>
          <w:ilvl w:val="0"/>
          <w:numId w:val="1"/>
        </w:numPr>
        <w:spacing w:before="120" w:after="12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brak danych co do nazwy i adresu  producenta – w 1 przypadku (piłka powietrzna),</w:t>
      </w:r>
    </w:p>
    <w:p>
      <w:pPr>
        <w:pStyle w:val="Normal"/>
        <w:numPr>
          <w:ilvl w:val="0"/>
          <w:numId w:val="1"/>
        </w:numPr>
        <w:spacing w:before="120" w:after="12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brak danych co do nazwy i adresu importera – w 1 przypadku (grzechotka „Sztanga”),</w:t>
      </w:r>
    </w:p>
    <w:p>
      <w:pPr>
        <w:pStyle w:val="Normal"/>
        <w:numPr>
          <w:ilvl w:val="0"/>
          <w:numId w:val="1"/>
        </w:numPr>
        <w:spacing w:before="120" w:after="12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brak instrukcji bezpieczeństwa – w 1 przypadku (grzechotka Hola z gryzakiem wodnym).</w:t>
      </w:r>
    </w:p>
    <w:p>
      <w:pPr>
        <w:pStyle w:val="Normal"/>
        <w:spacing w:before="120" w:after="12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</w:r>
    </w:p>
    <w:p>
      <w:pPr>
        <w:pStyle w:val="Normal"/>
        <w:spacing w:before="120" w:after="120"/>
        <w:ind w:left="360" w:hanging="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</w:r>
    </w:p>
    <w:p>
      <w:pPr>
        <w:pStyle w:val="Normal"/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Badania laboratoryjne</w:t>
      </w:r>
      <w:r>
        <w:rPr>
          <w:sz w:val="24"/>
          <w:szCs w:val="24"/>
        </w:rPr>
        <w:t xml:space="preserve"> :</w:t>
      </w:r>
    </w:p>
    <w:p>
      <w:pPr>
        <w:pStyle w:val="Normal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Łącznie przebadano  12 zabawek,  z czego zakwestionowano 6 zabawek.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 Specjalistycznym Laboratorium Badania Zabawek w Lublinie </w:t>
      </w:r>
      <w:r>
        <w:rPr>
          <w:sz w:val="24"/>
          <w:szCs w:val="24"/>
        </w:rPr>
        <w:t>przeprowadzono łącznie badania 5 próbek zabawek, stwierdzając niezgodności w zakresie konstrukcji, wykonania i zastosowanych materiałów w 3 próbkach (60 proc. ogółu zbadanych).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color w:val="0070C0"/>
          <w:sz w:val="24"/>
          <w:szCs w:val="24"/>
          <w:u w:val="single"/>
        </w:rPr>
      </w:pPr>
      <w:r>
        <w:rPr>
          <w:i/>
          <w:color w:val="0070C0"/>
          <w:sz w:val="24"/>
          <w:szCs w:val="24"/>
          <w:u w:val="single"/>
        </w:rPr>
        <w:t>PRZYKŁAD: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Najczęściej pojawiające się niezgodności polegały na:</w:t>
      </w:r>
    </w:p>
    <w:p>
      <w:pPr>
        <w:pStyle w:val="Standard"/>
        <w:spacing w:lineRule="auto" w:line="276" w:before="100" w:after="100"/>
        <w:ind w:hanging="27"/>
        <w:jc w:val="both"/>
        <w:rPr>
          <w:i/>
          <w:i/>
          <w:color w:val="0070C0"/>
        </w:rPr>
      </w:pPr>
      <w:r>
        <w:rPr>
          <w:i/>
          <w:color w:val="0070C0"/>
        </w:rPr>
        <w:t xml:space="preserve">•   </w:t>
      </w:r>
      <w:r>
        <w:rPr>
          <w:i/>
          <w:color w:val="0070C0"/>
        </w:rPr>
        <w:t>zaniżonej średnicy lin dla huśtawki wiszącej (wydłużenie się lin podczas badania sprawdzianem), co może powodować złamania, skaleczenia i otarcia ciała użytkownika                     - 1 przypadek (huśtawka „Swing Prince”),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•</w:t>
      </w:r>
      <w:r>
        <w:rPr>
          <w:i/>
          <w:color w:val="0070C0"/>
          <w:sz w:val="24"/>
          <w:szCs w:val="24"/>
        </w:rPr>
        <w:tab/>
        <w:t>występowaniu lub pojawieniu się podczas badań małych elementów mieszczących się całkowicie w cylindrze do badania małych części, mogących powodować udławienie lub uduszenie dziecka - 2 przypadki, (-  zastosowanie elastycznych gumek do wiązania włosów lalki  - „Lalka z dźwiękiem 4 głosy, Mówi i Śpiewa po polsku”; -  pojawienie się małych elementów   w wyniku pęknięcia obudowy jednej grzechotki i rozpadu drugiej grzechotki na skutek słabej wytrzymałości udarnościowej – „Zestaw 4 grzechotek w folii”),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•</w:t>
      </w:r>
      <w:r>
        <w:rPr>
          <w:i/>
          <w:color w:val="0070C0"/>
          <w:sz w:val="24"/>
          <w:szCs w:val="24"/>
        </w:rPr>
        <w:tab/>
        <w:t>nietrwałość szwów i dostępność wypełnienia z materiału włóknistego, co może powodować zadławienie, uduszenie dziecka - 1 przypadek  („Lalka z dźwiękiem 4 głosy, Mówi i Śpiewa           po polsku”).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sz w:val="24"/>
          <w:szCs w:val="24"/>
        </w:rPr>
      </w:pPr>
      <w:r>
        <w:rPr>
          <w:b/>
          <w:sz w:val="24"/>
          <w:szCs w:val="24"/>
        </w:rPr>
        <w:t>W Specjalistycznym Laboratorium Produktów Włókienniczych i Analizy Instrumentalnej w Łodzi</w:t>
      </w:r>
      <w:r>
        <w:rPr>
          <w:sz w:val="24"/>
          <w:szCs w:val="24"/>
        </w:rPr>
        <w:t xml:space="preserve"> przeprowadzono łącznie 7 badań laboratoryjnych zabawek pod kątem występowania niedozwolonych substancji chemicznych, takich jak: </w:t>
      </w:r>
      <w:r>
        <w:rPr>
          <w:b/>
          <w:sz w:val="24"/>
          <w:szCs w:val="24"/>
        </w:rPr>
        <w:t>ftalany</w:t>
      </w:r>
      <w:r>
        <w:rPr>
          <w:sz w:val="24"/>
          <w:szCs w:val="24"/>
        </w:rPr>
        <w:t xml:space="preserve">, stwierdzając przekroczenie dopuszczalnego stężenia ftalanów w 2 zabawkach na 6 zbadanych (33,3 proc zbadanych), </w:t>
      </w:r>
      <w:r>
        <w:rPr>
          <w:b/>
          <w:sz w:val="24"/>
          <w:szCs w:val="24"/>
        </w:rPr>
        <w:t>WWA</w:t>
      </w:r>
      <w:r>
        <w:rPr>
          <w:sz w:val="24"/>
          <w:szCs w:val="24"/>
        </w:rPr>
        <w:t xml:space="preserve">, stwierdzając je w 1 zabawce na badaną 1 zabawkę (100 proc zbadanych)  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Ftalany stwierdzono;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1/ lalka 15 cm „Lovely Fashion Perfect” BLAL 1570, no 969, kod 5902719731570, firmy P.H.U. BIG TOYS, 30-719 Kraków ul. Gromadzka 46  – w jej głowie stwierdzono  ftalan bis </w:t>
        <w:br/>
        <w:t>(2-etyloheksylu) (DEHP)w ilości 36,5 %, niepewność wyniku 4,1%, dopuszczalna obecność               nie więcej niż 0,1%,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2/ piłka do skakania 8732, kod 5960037970200, firmy Marcin Grzesik MARTIUS, Złota Woda nr 44, 26-025 Łagów – stwierdzono ftalan diizobutylu (DIBP) w ilości 28,1%, niepewność wyniku 4,5%, dopuszczalna obecność nie więcej niż 0,3%.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WWA stwierdzono: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3/ samochód „Show Power” nr 6890, kod 6920107325797, firmy MAKSIK Sp. z o. o, 42-600 Tarnowskie Góry, ul. Zagórska 159 – w oponach tego samochodu stwierdzono obecność wielopierścieniowych węglowodorów aromatycznych WWA: BjF- 5,3 mg/kg przy niepewności wyniku 1,8 mg/kg, BkF-2,63 mg/kg przy niepewności wyniku 0,87 mg/kg oraz BaP, BeP, BaA, CHR, BbF, DbahA - powyżej 10 mg/kg: wg normy nie więcej niż 0,5 mg/kg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Działania Inspekcji Handlowej:</w:t>
      </w:r>
      <w:r>
        <w:rPr>
          <w:sz w:val="24"/>
          <w:szCs w:val="24"/>
        </w:rPr>
        <w:t xml:space="preserve"> w przypadku niezgodności formalnych inspektorzy IH wzywali przedsiębiorców do podjęcia dobrowolnych działań naprawczych łącznie 3 razy.           Wezwane podmioty gospodarcze (Przedsiębiorstwo Handlowe KRIS TAEM Krzysztof Krzyżewski ul. Długorzeczna 42, 03-044 Warszawa;  Pegaz Toys S. C. 96-100 Skierniewice,      ul. Waryńskiego 77; One Dollar Group Sp. z o. o. Al. Jerozolimskie 200,  02-486 Warszawa)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podjęły działania.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Działania UOKiK:</w:t>
      </w:r>
      <w:r>
        <w:rPr>
          <w:sz w:val="24"/>
          <w:szCs w:val="24"/>
        </w:rPr>
        <w:t xml:space="preserve"> inspektorzy IH skierują do Prezesa UOKiK  3 akta kontroli z wnioskiem </w:t>
        <w:br/>
        <w:t xml:space="preserve">o wszczęcie postępowania administracyjnego, które obejmować będą  łącznie 6 zabawek. 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Wnioski:</w:t>
      </w:r>
      <w:r>
        <w:rPr>
          <w:sz w:val="24"/>
          <w:szCs w:val="24"/>
        </w:rPr>
        <w:t xml:space="preserve"> </w:t>
        <w:br/>
        <w:t xml:space="preserve">Porównując z kontrolą zabawek przeprowadzoną w IV kwartale 2018 r.  należy stwierdzić wzrost wadliwości zabawek.  Obecnie zakwestionowano 17%, a w IV kw. 2018 r. niecałe 6%. Znaczną część wśród przyczyn kwestionowania stanowiły  cechy chemiczne i konstrukcyjne. 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W przypadku niezgodności formalnych najczęściej kwestionowano </w:t>
      </w:r>
      <w:r>
        <w:rPr>
          <w:i/>
          <w:sz w:val="24"/>
          <w:szCs w:val="24"/>
        </w:rPr>
        <w:t>– po jednym przypadku kwestionowano:</w:t>
      </w:r>
    </w:p>
    <w:p>
      <w:pPr>
        <w:pStyle w:val="Normal"/>
        <w:spacing w:before="120" w:after="12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1/Grzechotka  (w kształcie Sztanga) itm. no 00-92420, kod EAN 5906160292420 -  brak CE oraz brak nazwy i adresu importera,</w:t>
      </w:r>
    </w:p>
    <w:p>
      <w:pPr>
        <w:pStyle w:val="Normal"/>
        <w:spacing w:before="120" w:after="12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2/ Grzechotka Hola (z gryzakiem wodnym na baterie) no  306E, kod EAN 5902385960229 – brak instrukcji bezpieczeństwa dla gryzaków wodnych, </w:t>
      </w:r>
    </w:p>
    <w:p>
      <w:pPr>
        <w:pStyle w:val="Normal"/>
        <w:spacing w:before="120" w:after="12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3/ Piłka powietrzna Electric Air Hover Ball, G9000, no 86008, kod EAN 5906245203044 – brak nazwy i adresu producenta.</w:t>
      </w:r>
    </w:p>
    <w:p>
      <w:pPr>
        <w:pStyle w:val="Normal"/>
        <w:spacing w:before="120" w:after="12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Stwierdzone niezgodności formalne zostały usunięte w ramach dobrowolnych działań naprawczych.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Tretekstu"/>
        <w:spacing w:before="240" w:after="0"/>
        <w:jc w:val="both"/>
        <w:rPr/>
      </w:pPr>
      <w:r>
        <w:rPr/>
        <w:t>INNE INFORMACJE</w:t>
      </w:r>
    </w:p>
    <w:p>
      <w:pPr>
        <w:pStyle w:val="Tretekstu"/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"/>
        <w:tabs>
          <w:tab w:val="left" w:pos="360" w:leader="none"/>
        </w:tabs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    </w:t>
        <w:tab/>
        <w:t xml:space="preserve">Jeden z </w:t>
      </w:r>
      <w:r>
        <w:rPr>
          <w:color w:val="000000"/>
          <w:sz w:val="24"/>
          <w:szCs w:val="24"/>
        </w:rPr>
        <w:t xml:space="preserve"> kontrolowanych przedsiębiorców - importer prowadzi sprzedaż zabawek głównie przez internet dla indywidualnych klientów, za pośrednictwem portalu Allegro. </w:t>
      </w:r>
    </w:p>
    <w:p>
      <w:pPr>
        <w:pStyle w:val="BodyTextIndent"/>
        <w:tabs>
          <w:tab w:val="left" w:pos="-20520" w:leader="none"/>
        </w:tabs>
        <w:ind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Przedsiębiorca nie zamieścił ostrzeżeń „0-3” mających zastosowanie do 6 zabawek, objętych kontrolą i stanowiących ofertę handlową, co narusza postanowienia § 5 ust. 10  rozporządzenia </w:t>
      </w:r>
      <w:r>
        <w:rPr>
          <w:color w:val="000000"/>
          <w:sz w:val="24"/>
          <w:szCs w:val="24"/>
        </w:rPr>
        <w:t xml:space="preserve">Ministra Rozwoju i Finansów z dnia 20 października 2016 r. </w:t>
      </w:r>
      <w:r>
        <w:rPr>
          <w:i/>
          <w:iCs/>
          <w:color w:val="000000"/>
          <w:sz w:val="24"/>
          <w:szCs w:val="24"/>
        </w:rPr>
        <w:t>w sprawie wymagań dla zabawek.</w:t>
      </w:r>
    </w:p>
    <w:p>
      <w:pPr>
        <w:pStyle w:val="BodyTextIndent"/>
        <w:tabs>
          <w:tab w:val="left" w:pos="-20520" w:leader="none"/>
        </w:tabs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cytowanym </w:t>
      </w:r>
      <w:r>
        <w:rPr>
          <w:i/>
          <w:sz w:val="24"/>
          <w:szCs w:val="24"/>
        </w:rPr>
        <w:t>rozporządzeniem MRiF,</w:t>
      </w:r>
      <w:r>
        <w:rPr>
          <w:sz w:val="24"/>
          <w:szCs w:val="24"/>
        </w:rPr>
        <w:t xml:space="preserve"> ostrzeżenia, od których zależy decyzja o zakupie zabawki, takie jak określające minimalny i maksymalny wiek dziecka, a także pozostałe mające zastosowania, powinny być wyraźnie widoczne w przypadku zakupu przez Internet.</w:t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ab/>
        <w:tab/>
        <w:t>W trakcie kontroli umożliwiono przedsiębiorcy podjęcie dobrowolnych działań naprawczych. Importer w swojej ofercie internetowej uzupełnił opisy zabawek o stosowne ostrzeżenia.</w:t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>2/</w:t>
        <w:tab/>
        <w:t xml:space="preserve">   Stwierdzone negatywne wyniki badań laboratoryjnych dla 6 zabawek dają podstawę </w:t>
        <w:br/>
        <w:t xml:space="preserve">do rozpoczęcia ponownych kontroli u 3 przedsiębiorców. Wszczęto  i zakończono już 2 kontrole.  W ramach tych kontroli wydano 2 decyzje na dwie zabawki zakazujące udostępniania ich </w:t>
        <w:br/>
        <w:t>na okres 3 miesięcy. Dla trzech wadliwych zabawek nie wydawano decyzji, z uwagi na zerowe stany.</w:t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>W najbliższym czasie zostanie rozpoczęta trzecia kontrola i w przypadku posiadania na stanie kwestionowanej zabawki, zostanie wydana decyzja.</w:t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 xml:space="preserve">3/     Do kontroli typowano przede wszystkim kategorie zabawek wskazane w programie UOKiK.   W kilku przypadkach, kontroli poddano lalki powyżej 3 lat i zakwalifikowano je do grupy </w:t>
      </w:r>
      <w:r>
        <w:rPr>
          <w:rFonts w:cs="Times New Roman"/>
          <w:i/>
          <w:iCs/>
        </w:rPr>
        <w:t>„INNE</w:t>
      </w:r>
      <w:r>
        <w:rPr>
          <w:rFonts w:cs="Times New Roman"/>
        </w:rPr>
        <w:t>”. Lalki te typowano z uwagi na często stwierdzaną w głowach lalek  obecność ftalanów.</w:t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>Poniżej ilość zabawek skontrolowanych w poszczególnych kategoriach:</w:t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>- poniżej 3 roku życia – 20,</w:t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>- wydające dźwięk – 13,</w:t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>- huśtawki – 2,</w:t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>- hulajnogi – 2,</w:t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>- inne 16.</w:t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before="240" w:after="0"/>
        <w:jc w:val="both"/>
        <w:rPr>
          <w:i/>
          <w:i/>
        </w:rPr>
      </w:pPr>
      <w:r>
        <w:rPr/>
        <w:t xml:space="preserve">NOWE RODZAJE ZABAWEK LUB ZAGROŻEŃ </w:t>
      </w:r>
    </w:p>
    <w:p>
      <w:pPr>
        <w:pStyle w:val="Tretekstu"/>
        <w:spacing w:before="240" w:after="0"/>
        <w:jc w:val="both"/>
        <w:rPr/>
      </w:pPr>
      <w:r>
        <w:rPr/>
        <w:tab/>
        <w:t>Od</w:t>
      </w:r>
      <w:r>
        <w:rPr>
          <w:sz w:val="24"/>
          <w:szCs w:val="24"/>
        </w:rPr>
        <w:t xml:space="preserve"> roku 2018 na rynku występuje nowy rodzaj zabawek  tzw. gluty, glutki, w postaci masy żelowej albo gęstej pasty. Jest duże zainteresowanie tymi zabawkami, wciągają w zabawę w każdym wieku. Mogą być atrakcyjne nawet dla małych dzieci, które lubią kolorowe przedmioty i lubią je wkładać do buzi.  Z informacji medialnych wynika, że zabawki te mogą mogą zawierać substancje niebezpieczne dla dzieci, trujące, alergizujące. Należałoby rozważyć zasadność skontrolowania  i  zbadania tych zabawek.</w:t>
      </w:r>
    </w:p>
    <w:p>
      <w:pPr>
        <w:pStyle w:val="Tretekstu"/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240" w:after="0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4" w:header="709" w:top="1418" w:footer="709" w:bottom="993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Palatino Linotyp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>Dz. U. poz. 1730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Dz. U. z 2019.544 t.j.2019.03.22 ze zm.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Watermarks"/>
        <w:docPartUnique w:val="true"/>
      </w:docPartObj>
      <w:id w:val="151459084"/>
    </w:sdtPr>
    <w:sdtContent>
      <w:p>
        <w:pPr>
          <w:pStyle w:val="Normal"/>
          <w:pBdr>
            <w:bottom w:val="single" w:sz="6" w:space="1" w:color="00000A"/>
          </w:pBdr>
          <w:tabs>
            <w:tab w:val="left" w:pos="2175" w:leader="none"/>
            <w:tab w:val="right" w:pos="9214" w:leader="none"/>
          </w:tabs>
          <w:spacing w:before="120" w:after="0"/>
          <w:jc w:val="right"/>
          <w:rPr/>
        </w:pPr>
        <w:r>
          <w:pict>
            <v:shapetype id="shapetype_136" coordsize="21600,21600" o:spt="136" adj="10800" path="m@9,l@10,em@11,21600l@12,21600e">
              <v:stroke joinstyle="miter"/>
              <v:formulas>
                <v:f eqn="val #0"/>
                <v:f eqn="sum @0 0 10800"/>
                <v:f eqn="sum @0 0 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handles>
                <v:h position="@0,21600"/>
              </v:handles>
            </v:shapetype>
            <v:shape id="PowerPlusWaterMarkObject883507236" fillcolor="silver" stroked="f" style="position:absolute;margin-left:-29.45pt;margin-top:286.4pt;width:519.6pt;height:129.85pt;rotation:315;mso-position-horizontal:center;mso-position-vertical:center;mso-position-vertical-relative:margin" type="shapetype_136">
              <v:path textpathok="t"/>
              <v:textpath on="t" fitshape="t" string="NIE ZMIENIAĆ" style="font-family:&quot;Calibri&quot;"/>
              <w10:wrap type="none"/>
              <v:fill o:detectmouseclick="t" type="solid" color2="#3f3f3f" opacity="0.5"/>
              <v:stroke color="#3465a4" joinstyle="round" endcap="flat"/>
            </v:shape>
          </w:pict>
        </w:r>
        <w:r>
          <w:rPr>
            <w:rFonts w:ascii="Palatino Linotype" w:hAnsi="Palatino Linotype"/>
          </w:rPr>
          <w:tab/>
        </w:r>
        <w:r>
          <w:rPr>
            <w:rFonts w:ascii="Palatino Linotype" w:hAnsi="Palatino Linotype"/>
          </w:rPr>
          <w:tab/>
        </w:r>
      </w:p>
      <w:p>
        <w:pPr>
          <w:pStyle w:val="Normal"/>
          <w:pBdr>
            <w:bottom w:val="single" w:sz="6" w:space="1" w:color="00000A"/>
          </w:pBdr>
          <w:tabs>
            <w:tab w:val="left" w:pos="2175" w:leader="none"/>
            <w:tab w:val="right" w:pos="9214" w:leader="none"/>
          </w:tabs>
          <w:spacing w:before="120" w:after="0"/>
          <w:rPr/>
        </w:pPr>
        <w:r>
          <w:rPr/>
          <w:tab/>
          <w:tab/>
          <w:t>Kielce, 17.07.2019</w:t>
        </w:r>
      </w:p>
      <w:p>
        <w:pPr>
          <w:pStyle w:val="Normal"/>
          <w:pBdr>
            <w:bottom w:val="single" w:sz="6" w:space="1" w:color="00000A"/>
          </w:pBdr>
          <w:tabs>
            <w:tab w:val="left" w:pos="2685" w:leader="none"/>
            <w:tab w:val="left" w:pos="2790" w:leader="none"/>
          </w:tabs>
          <w:spacing w:before="120" w:after="0"/>
          <w:rPr/>
        </w:pPr>
        <w:r>
          <w:rPr>
            <w:rFonts w:ascii="Palatino Linotype" w:hAnsi="Palatino Linotype"/>
          </w:rPr>
          <w:drawing>
            <wp:anchor behindDoc="1" distT="0" distB="0" distL="133350" distR="114300" simplePos="0" locked="0" layoutInCell="1" allowOverlap="1" relativeHeight="9">
              <wp:simplePos x="0" y="0"/>
              <wp:positionH relativeFrom="column">
                <wp:posOffset>-414020</wp:posOffset>
              </wp:positionH>
              <wp:positionV relativeFrom="page">
                <wp:posOffset>209550</wp:posOffset>
              </wp:positionV>
              <wp:extent cx="1295400" cy="685800"/>
              <wp:effectExtent l="0" t="0" r="0" b="0"/>
              <wp:wrapNone/>
              <wp:docPr id="4" name="Obraz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2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Palatino Linotype" w:hAnsi="Palatino Linotype"/>
          </w:rPr>
          <w:tab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3bc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3bc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3bca"/>
    <w:rPr/>
  </w:style>
  <w:style w:type="character" w:styleId="TekstpodstawowyZnak" w:customStyle="1">
    <w:name w:val="Tekst podstawowy Znak"/>
    <w:basedOn w:val="DefaultParagraphFont"/>
    <w:link w:val="Tekstpodstawowy"/>
    <w:qFormat/>
    <w:rsid w:val="00283bc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283bc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qFormat/>
    <w:rsid w:val="00283bca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3bca"/>
    <w:rPr>
      <w:rFonts w:ascii="Tahoma" w:hAnsi="Tahoma" w:eastAsia="Times New Roman" w:cs="Tahoma"/>
      <w:sz w:val="16"/>
      <w:szCs w:val="16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c63b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c63b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c63b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eb002a"/>
    <w:rPr>
      <w:color w:val="0000FF"/>
      <w:u w:val="single"/>
    </w:r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qFormat/>
    <w:rsid w:val="0045650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b/>
      <w:i/>
      <w:sz w:val="24"/>
      <w:szCs w:val="24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eastAsia="Times New Roman" w:cs="Times New Roman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283bca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283bca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83bca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kstprzypisudolnegoZnak"/>
    <w:semiHidden/>
    <w:qFormat/>
    <w:rsid w:val="00283bca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3bca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c63b1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c63b1"/>
    <w:pPr/>
    <w:rPr>
      <w:b/>
      <w:bCs/>
    </w:rPr>
  </w:style>
  <w:style w:type="paragraph" w:styleId="NagwekIII" w:customStyle="1">
    <w:name w:val="Nagłówek III"/>
    <w:basedOn w:val="Normal"/>
    <w:qFormat/>
    <w:rsid w:val="00384e0f"/>
    <w:pPr>
      <w:tabs>
        <w:tab w:val="left" w:pos="567" w:leader="none"/>
      </w:tabs>
      <w:jc w:val="both"/>
    </w:pPr>
    <w:rPr>
      <w:rFonts w:ascii="Bookman Old Style" w:hAnsi="Bookman Old Style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5426e5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257ce2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ahoma"/>
      <w:color w:val="auto"/>
      <w:sz w:val="24"/>
      <w:szCs w:val="24"/>
      <w:lang w:val="pl-PL" w:eastAsia="pl-PL" w:bidi="ar-SA"/>
    </w:rPr>
  </w:style>
  <w:style w:type="paragraph" w:styleId="BodyTextIndent">
    <w:name w:val="Body Text Indent"/>
    <w:basedOn w:val="Tretekstu"/>
    <w:link w:val="TekstpodstawowyzwciciemZnak"/>
    <w:uiPriority w:val="99"/>
    <w:unhideWhenUsed/>
    <w:qFormat/>
    <w:rsid w:val="0045650c"/>
    <w:pPr>
      <w:spacing w:before="0" w:after="0"/>
      <w:ind w:firstLine="360"/>
    </w:pPr>
    <w:rPr/>
  </w:style>
  <w:style w:type="paragraph" w:styleId="Zawartoramki">
    <w:name w:val="Zawartość ramki"/>
    <w:basedOn w:val="Normal"/>
    <w:qFormat/>
    <w:pPr/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D73CB-C97C-406E-A9E2-BEEAA1B2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Application>LibreOffice/5.3.2.2$Windows_x86 LibreOffice_project/6cd4f1ef626f15116896b1d8e1398b56da0d0ee1</Application>
  <Pages>4</Pages>
  <Words>1087</Words>
  <Characters>6669</Characters>
  <CharactersWithSpaces>7832</CharactersWithSpaces>
  <Paragraphs>67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2019-03-26T07:09:00Z</dcterms:created>
  <dc:creator>edomanska</dc:creator>
  <dc:description/>
  <dc:language>pl-PL</dc:language>
  <cp:lastModifiedBy/>
  <cp:lastPrinted>2019-07-15T09:27:00Z</cp:lastPrinted>
  <dcterms:modified xsi:type="dcterms:W3CDTF">2019-09-18T11:01:42Z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