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86" distL="114300" distR="113753" simplePos="0" locked="0" layoutInCell="1" allowOverlap="1" relativeHeight="2">
                <wp:simplePos x="0" y="0"/>
                <wp:positionH relativeFrom="column">
                  <wp:posOffset>-431165</wp:posOffset>
                </wp:positionH>
                <wp:positionV relativeFrom="paragraph">
                  <wp:posOffset>899795</wp:posOffset>
                </wp:positionV>
                <wp:extent cx="6550025" cy="1270"/>
                <wp:effectExtent l="19050" t="19050" r="41822" b="37379"/>
                <wp:wrapNone/>
                <wp:docPr id="1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4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pt,70.85pt" to="481.65pt,70.85pt" ID="Łącznik prosty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30" simplePos="0" locked="0" layoutInCell="1" allowOverlap="1" relativeHeight="3">
                <wp:simplePos x="0" y="0"/>
                <wp:positionH relativeFrom="column">
                  <wp:posOffset>2053590</wp:posOffset>
                </wp:positionH>
                <wp:positionV relativeFrom="paragraph">
                  <wp:posOffset>-134620</wp:posOffset>
                </wp:positionV>
                <wp:extent cx="4317365" cy="1011555"/>
                <wp:effectExtent l="0" t="0" r="759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60" cy="101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161.7pt;margin-top:-10.6pt;width:339.85pt;height:79.5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auto"/>
                          <w:sz w:val="28"/>
                          <w:szCs w:val="28"/>
                        </w:rPr>
                        <w:tab/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150" distL="114300" distR="114300" simplePos="0" locked="0" layoutInCell="1" allowOverlap="1" relativeHeight="5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967865" cy="964565"/>
                <wp:effectExtent l="0" t="0" r="0" b="7470"/>
                <wp:wrapNone/>
                <wp:docPr id="4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0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fillcolor="white" stroked="f" style="position:absolute;margin-left:-36pt;margin-top:-9pt;width:154.85pt;height:75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Verdana"/>
          <w:sz w:val="20"/>
          <w:szCs w:val="20"/>
        </w:rPr>
      </w:pPr>
      <w:r>
        <w:rPr>
          <w:rFonts w:cs="Verdana"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 w:cs="Palatino Linotype"/>
          <w:sz w:val="20"/>
          <w:szCs w:val="20"/>
        </w:rPr>
      </w:pPr>
      <w:r>
        <w:rPr>
          <w:rFonts w:cs="Palatino Linotype" w:ascii="Times New Roman" w:hAnsi="Times New Roman"/>
          <w:sz w:val="20"/>
          <w:szCs w:val="20"/>
        </w:rPr>
        <w:tab/>
        <w:tab/>
        <w:tab/>
        <w:tab/>
        <w:tab/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agwek2"/>
        <w:numPr>
          <w:ilvl w:val="1"/>
          <w:numId w:val="2"/>
        </w:numPr>
        <w:tabs>
          <w:tab w:val="left" w:pos="576" w:leader="none"/>
        </w:tabs>
        <w:jc w:val="right"/>
        <w:rPr/>
      </w:pPr>
      <w:r>
        <w:rPr>
          <w:rFonts w:cs="Palatino Linotype" w:ascii="Palatino Linotype" w:hAnsi="Palatino Linotype"/>
          <w:bCs/>
          <w:szCs w:val="24"/>
        </w:rPr>
        <w:t xml:space="preserve">                                                                                       </w:t>
      </w:r>
      <w:r>
        <w:rPr>
          <w:rFonts w:cs="Palatino Linotype" w:ascii="Palatino Linotype" w:hAnsi="Palatino Linotype"/>
          <w:bCs/>
          <w:szCs w:val="24"/>
        </w:rPr>
        <w:t>Kielce dn. 10.07.2019r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Palatino Linotype" w:hAnsi="Palatino Linotype" w:cs="Palatino Linotype"/>
          <w:sz w:val="48"/>
          <w:szCs w:val="48"/>
        </w:rPr>
      </w:pPr>
      <w:r>
        <w:rPr>
          <w:rFonts w:cs="Palatino Linotype" w:ascii="Palatino Linotype" w:hAnsi="Palatino Linotype"/>
          <w:sz w:val="48"/>
          <w:szCs w:val="4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Palatino Linotype" w:hAnsi="Palatino Linotype" w:cs="Palatino Linotype"/>
          <w:sz w:val="48"/>
          <w:szCs w:val="48"/>
        </w:rPr>
      </w:pPr>
      <w:r>
        <w:rPr>
          <w:rFonts w:cs="Palatino Linotype" w:ascii="Palatino Linotype" w:hAnsi="Palatino Linotype"/>
          <w:sz w:val="48"/>
          <w:szCs w:val="4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48"/>
          <w:szCs w:val="48"/>
        </w:rPr>
      </w:pPr>
      <w:r>
        <w:rPr>
          <w:rFonts w:cs="Palatino Linotype" w:ascii="Palatino Linotype" w:hAnsi="Palatino Linotype"/>
          <w:b/>
          <w:bCs/>
          <w:sz w:val="48"/>
          <w:szCs w:val="48"/>
        </w:rPr>
        <w:t xml:space="preserve">Informacja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48"/>
          <w:szCs w:val="48"/>
        </w:rPr>
        <w:t xml:space="preserve">o wynikach kontroli jakości handlowej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eastAsia="Palatino Linotype" w:cs="Palatino Linotype" w:ascii="Palatino Linotype" w:hAnsi="Palatino Linotype"/>
          <w:b/>
          <w:sz w:val="48"/>
          <w:szCs w:val="48"/>
        </w:rPr>
        <w:t>pieczywa</w:t>
      </w:r>
      <w:r>
        <w:rPr>
          <w:rFonts w:cs="Arial" w:ascii="Arial" w:hAnsi="Arial"/>
          <w:sz w:val="28"/>
          <w:szCs w:val="28"/>
        </w:rPr>
        <w:br/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134" w:right="1134" w:header="720" w:top="1763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>Kielce, lipiec 2019 r.</w:t>
      </w:r>
    </w:p>
    <w:p>
      <w:pPr>
        <w:pStyle w:val="Normal"/>
        <w:tabs>
          <w:tab w:val="left" w:pos="465" w:leader="none"/>
        </w:tabs>
        <w:suppressAutoHyphens w:val="false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ab/>
      </w:r>
    </w:p>
    <w:p>
      <w:pPr>
        <w:pStyle w:val="Normal"/>
        <w:tabs>
          <w:tab w:val="left" w:pos="465" w:leader="none"/>
        </w:tabs>
        <w:suppressAutoHyphens w:val="false"/>
        <w:spacing w:lineRule="auto" w:line="276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465" w:leader="none"/>
        </w:tabs>
        <w:suppressAutoHyphens w:val="false"/>
        <w:spacing w:lineRule="auto" w:line="276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 xml:space="preserve">        </w:t>
      </w:r>
    </w:p>
    <w:p>
      <w:pPr>
        <w:pStyle w:val="Normal"/>
        <w:tabs>
          <w:tab w:val="left" w:pos="465" w:leader="none"/>
        </w:tabs>
        <w:suppressAutoHyphens w:val="false"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 xml:space="preserve">Wydział Kontroli Artykułów Żywnościowych i Gastronomii Wojewódzkiego Inspektoratu </w:t>
        <w:br/>
        <w:t xml:space="preserve">Inspekcji Handlowej w Kielcach, przeprowadził kontrole w 4 jednostkach. 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br/>
      </w:r>
    </w:p>
    <w:p>
      <w:pPr>
        <w:pStyle w:val="Normal"/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  </w:t>
      </w:r>
      <w:r>
        <w:rPr>
          <w:rFonts w:cs="Palatino Linotype" w:ascii="Palatino Linotype" w:hAnsi="Palatino Linotype"/>
          <w:sz w:val="22"/>
          <w:szCs w:val="22"/>
        </w:rPr>
        <w:t>Ustalenia kontroli wg zagadnień tematycznych przedstawiają się następująco:</w:t>
        <w:br/>
      </w:r>
    </w:p>
    <w:p>
      <w:pPr>
        <w:pStyle w:val="Standard"/>
        <w:numPr>
          <w:ilvl w:val="0"/>
          <w:numId w:val="3"/>
        </w:numPr>
        <w:jc w:val="both"/>
        <w:rPr>
          <w:rFonts w:ascii="Palatino Linotype" w:hAnsi="Palatino Linotype"/>
          <w:b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KONTROLA JAKOŚCI HANDLOWEJ PIECZYWA</w:t>
      </w:r>
    </w:p>
    <w:p>
      <w:pPr>
        <w:pStyle w:val="Standard"/>
        <w:ind w:left="1080" w:hanging="0"/>
        <w:jc w:val="both"/>
        <w:rPr>
          <w:rFonts w:ascii="Palatino Linotype" w:hAnsi="Palatino Linotype"/>
          <w:b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       </w:t>
      </w:r>
      <w:r>
        <w:rPr>
          <w:rFonts w:cs="Palatino Linotype" w:ascii="Palatino Linotype" w:hAnsi="Palatino Linotype"/>
          <w:sz w:val="22"/>
          <w:szCs w:val="22"/>
        </w:rPr>
        <w:t xml:space="preserve">W tym zakresie sprawdzono 49 partii o wartości 1144 zł, z których  zakwestionowano 47 partii o wartości 1067 zł, co stanowi  95,92 procent ilości  badanych partii, ze względu na: 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overflowPunct w:val="true"/>
        <w:spacing w:lineRule="auto" w:line="276"/>
        <w:ind w:left="284" w:hanging="360"/>
        <w:jc w:val="both"/>
        <w:textAlignment w:val="auto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  <w:u w:val="single"/>
        </w:rPr>
        <w:t>dla produktów oferowanych do sprzedaży luzem w placówkach handlu detalicznego stwierdzono następujące nieprawidłowości:</w:t>
      </w:r>
    </w:p>
    <w:p>
      <w:pPr>
        <w:pStyle w:val="Normal"/>
        <w:tabs>
          <w:tab w:val="left" w:pos="120" w:leader="none"/>
        </w:tabs>
        <w:overflowPunct w:val="true"/>
        <w:spacing w:lineRule="auto" w:line="276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-  brak podania w miejscu sprzedaży na wywieszce dotyczącej danego środka spożywczego lub w inny sposób w miejscu dostępnym bezpośrednio konsumentowi finalnemu następujących informacji:</w:t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cs="Palatino Linotype"/>
          <w:b/>
          <w:b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 xml:space="preserve">- wykazu składników wraz z </w:t>
      </w:r>
      <w:r>
        <w:rPr>
          <w:rFonts w:cs="Palatino Linotype" w:ascii="Palatino Linotype" w:hAnsi="Palatino Linotype"/>
          <w:sz w:val="22"/>
          <w:szCs w:val="22"/>
        </w:rPr>
        <w:t>wyróżnieniem</w:t>
      </w: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 xml:space="preserve"> substancji lub produktów powodujących alergie lub rekcje nietolerancji -  dotyczyło to 41 partii,</w:t>
      </w:r>
    </w:p>
    <w:p>
      <w:pPr>
        <w:pStyle w:val="Normal"/>
        <w:overflowPunct w:val="true"/>
        <w:spacing w:lineRule="auto" w:line="276" w:before="113" w:after="113"/>
        <w:jc w:val="both"/>
        <w:rPr>
          <w:rFonts w:ascii="Palatino Linotype" w:hAnsi="Palatino Linotype" w:cs="Palatino Linotype"/>
          <w:b/>
          <w:b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>- masy jednostkowej pieczywa -  dotyczyło to 20 partii,</w:t>
      </w:r>
      <w:r>
        <w:rPr>
          <w:rFonts w:eastAsia="Palatino Linotype" w:cs="Palatino Linotype" w:ascii="Palatino Linotype" w:hAnsi="Palatino Linotype"/>
          <w:b/>
          <w:bCs/>
          <w:iCs/>
          <w:sz w:val="22"/>
          <w:szCs w:val="22"/>
        </w:rPr>
        <w:t xml:space="preserve"> </w:t>
      </w:r>
    </w:p>
    <w:p>
      <w:pPr>
        <w:pStyle w:val="Normal"/>
        <w:rPr>
          <w:rFonts w:ascii="Palatino Linotype" w:hAnsi="Palatino Linotype" w:cs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brak nazwy lub imienia i nazwiska producenta </w:t>
      </w: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>- dotyczyło to 6 partii,</w:t>
      </w:r>
      <w:bookmarkStart w:id="0" w:name="_Hlk8644000"/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br/>
      </w:r>
      <w:r>
        <w:rPr>
          <w:rFonts w:eastAsia="Palatino Linotype" w:cs="Palatino Linotype" w:ascii="Palatino Linotype" w:hAnsi="Palatino Linotype"/>
          <w:b/>
          <w:bCs/>
          <w:iCs/>
          <w:sz w:val="22"/>
          <w:szCs w:val="22"/>
        </w:rPr>
        <w:br/>
        <w:t>- nierzetelną informację uwidocznioną na wywieszce cenowej, co do faktycznej masy produktu oraz nazwy - dotyczyło to 2 partii pieczywa, tj.:</w:t>
      </w: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br/>
        <w:t xml:space="preserve">- na wywieszce podano </w:t>
      </w:r>
      <w:bookmarkEnd w:id="0"/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 xml:space="preserve">gramaturę 500 g i nazwę „Chleb kielecki”, a na dowodzie dostawy 600 g i nazwę „Chleb firmowy”- dotyczyło to </w:t>
      </w:r>
      <w:r>
        <w:rPr>
          <w:rFonts w:eastAsia="Arial" w:cs="Palatino Linotype" w:ascii="Palatino Linotype" w:hAnsi="Palatino Linotype"/>
          <w:sz w:val="22"/>
          <w:szCs w:val="22"/>
        </w:rPr>
        <w:t>„Chleba kieleckiego 500 g”</w:t>
      </w:r>
      <w:r>
        <w:rPr>
          <w:rFonts w:cs="Palatino Linotype" w:ascii="Palatino Linotype" w:hAnsi="Palatino Linotype"/>
          <w:iCs/>
          <w:sz w:val="22"/>
          <w:szCs w:val="22"/>
        </w:rPr>
        <w:t>,</w:t>
      </w:r>
    </w:p>
    <w:p>
      <w:pPr>
        <w:pStyle w:val="Normal"/>
        <w:jc w:val="both"/>
        <w:rPr>
          <w:rFonts w:ascii="Palatino Linotype" w:hAnsi="Palatino Linotype" w:eastAsia="Palatino Linotype" w:cs="Palatino Linotype"/>
          <w:bCs/>
          <w:iCs/>
          <w:sz w:val="22"/>
          <w:szCs w:val="22"/>
        </w:rPr>
      </w:pPr>
      <w:r>
        <w:rPr/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bCs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iCs/>
          <w:sz w:val="22"/>
          <w:szCs w:val="22"/>
        </w:rPr>
        <w:t xml:space="preserve">- </w:t>
      </w: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 xml:space="preserve"> na wywieszce podano nazwę „Chleb wiejski”, a na dowodzie dostawy „Chleb tradycyjny wiejski z ziemniakami 800 g” – dotyczyło to </w:t>
      </w:r>
      <w:r>
        <w:rPr>
          <w:rFonts w:eastAsia="Arial" w:cs="Palatino Linotype" w:ascii="Palatino Linotype" w:hAnsi="Palatino Linotype"/>
          <w:b/>
          <w:sz w:val="22"/>
          <w:szCs w:val="22"/>
        </w:rPr>
        <w:t>„Chleba wiejskiego”</w:t>
      </w:r>
      <w:r>
        <w:rPr>
          <w:rFonts w:cs="Palatino Linotype" w:ascii="Palatino Linotype" w:hAnsi="Palatino Linotype"/>
          <w:b/>
          <w:iCs/>
          <w:sz w:val="22"/>
          <w:szCs w:val="22"/>
        </w:rPr>
        <w:t xml:space="preserve">, </w:t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bCs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br/>
      </w:r>
      <w:r>
        <w:rPr>
          <w:rFonts w:eastAsia="Palatino Linotype" w:cs="Palatino Linotype" w:ascii="Palatino Linotype" w:hAnsi="Palatino Linotype"/>
          <w:b/>
          <w:bCs/>
          <w:iCs/>
          <w:sz w:val="22"/>
          <w:szCs w:val="22"/>
        </w:rPr>
        <w:t>-  nierzetelną informację uwidocznioną w Katalogu zawierającym wykaz składników, co do faktycznej masy produktu, tj.</w:t>
      </w:r>
    </w:p>
    <w:p>
      <w:pPr>
        <w:pStyle w:val="Normal"/>
        <w:widowControl/>
        <w:numPr>
          <w:ilvl w:val="0"/>
          <w:numId w:val="6"/>
        </w:numPr>
        <w:overflowPunct w:val="true"/>
        <w:spacing w:lineRule="auto" w:line="276" w:before="113" w:after="113"/>
        <w:ind w:left="284" w:hanging="360"/>
        <w:jc w:val="both"/>
        <w:rPr>
          <w:rFonts w:ascii="Palatino Linotype" w:hAnsi="Palatino Linotype" w:eastAsia="Palatino Linotype" w:cs="Palatino Linotype"/>
          <w:bCs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>dla bułki bagietki w katalogu podano gramaturę 0,250 kg, a na wywieszce i w dowodzie dostawy 300 g,</w:t>
      </w:r>
    </w:p>
    <w:p>
      <w:pPr>
        <w:pStyle w:val="Normal"/>
        <w:widowControl/>
        <w:numPr>
          <w:ilvl w:val="0"/>
          <w:numId w:val="6"/>
        </w:numPr>
        <w:overflowPunct w:val="true"/>
        <w:spacing w:lineRule="auto" w:line="276" w:before="113" w:after="113"/>
        <w:ind w:left="284" w:hanging="360"/>
        <w:jc w:val="both"/>
        <w:rPr>
          <w:rFonts w:ascii="Palatino Linotype" w:hAnsi="Palatino Linotype" w:eastAsia="Palatino Linotype" w:cs="Palatino Linotype"/>
          <w:bCs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>dla bułki grahamki w katalogu podano gramaturę 0,06 kg, a w dowodzie dostawy 0,09 kg,</w:t>
        <w:br/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bCs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iCs/>
          <w:sz w:val="22"/>
          <w:szCs w:val="22"/>
        </w:rPr>
        <w:t>-  wyróżnienie w wykazie składników, substancji nie będących składnikami alergennymi, tj.:</w:t>
      </w:r>
    </w:p>
    <w:p>
      <w:pPr>
        <w:pStyle w:val="Normal"/>
        <w:widowControl/>
        <w:numPr>
          <w:ilvl w:val="0"/>
          <w:numId w:val="6"/>
        </w:numPr>
        <w:overflowPunct w:val="true"/>
        <w:spacing w:lineRule="auto" w:line="276" w:before="113" w:after="113"/>
        <w:ind w:left="284" w:hanging="360"/>
        <w:jc w:val="both"/>
        <w:rPr>
          <w:rFonts w:ascii="Palatino Linotype" w:hAnsi="Palatino Linotype" w:eastAsia="Palatino Linotype" w:cs="Palatino Linotype"/>
          <w:bCs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Cs/>
          <w:iCs/>
          <w:sz w:val="22"/>
          <w:szCs w:val="22"/>
        </w:rPr>
        <w:t>w składzie bułki grahamki wyróżniono: SIEMIĘ LNIANE, PROSO, ZIARNA SŁONECZNIKA</w:t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 w:eastAsia="Palatino Linotype" w:cs="Palatino Linotype"/>
          <w:b/>
          <w:b/>
          <w:bCs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iCs/>
          <w:sz w:val="22"/>
          <w:szCs w:val="22"/>
        </w:rPr>
        <w:t>- nierzetelna informacja o składzie pieczywa, tj. nie wykazanie mąki typu graham wśród zadeklarowanych składników bułki grahamki.</w:t>
      </w:r>
    </w:p>
    <w:p>
      <w:pPr>
        <w:pStyle w:val="Normal"/>
        <w:tabs>
          <w:tab w:val="left" w:pos="120" w:leader="none"/>
        </w:tabs>
        <w:overflowPunct w:val="true"/>
        <w:spacing w:lineRule="auto" w:line="276"/>
        <w:ind w:left="284" w:hanging="0"/>
        <w:jc w:val="both"/>
        <w:rPr>
          <w:rFonts w:ascii="Palatino Linotype" w:hAnsi="Palatino Linotype" w:eastAsia="Palatino Linotype" w:cs="Palatino Linotype"/>
          <w:b/>
          <w:b/>
          <w:bCs/>
          <w:i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iCs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426" w:leader="none"/>
        </w:tabs>
        <w:spacing w:lineRule="auto" w:line="276"/>
        <w:ind w:left="-142" w:hanging="360"/>
        <w:jc w:val="both"/>
        <w:textAlignment w:val="auto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dla produktów oferowanych do sprzedaży w opakowaniach jednostkowych w placówkach handlu detalicznego stwierdzono następujące nieprawidłowości:</w:t>
      </w:r>
    </w:p>
    <w:p>
      <w:pPr>
        <w:pStyle w:val="Normal"/>
        <w:widowControl/>
        <w:numPr>
          <w:ilvl w:val="0"/>
          <w:numId w:val="5"/>
        </w:numPr>
        <w:overflowPunct w:val="true"/>
        <w:spacing w:lineRule="auto" w:line="276" w:before="113" w:after="113"/>
        <w:ind w:left="0" w:hanging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Batang" w:cs="Palatino Linotype" w:ascii="Palatino Linotype" w:hAnsi="Palatino Linotype"/>
          <w:sz w:val="22"/>
          <w:szCs w:val="22"/>
        </w:rPr>
        <w:t>brak wyróżnienia składników alergennych w podanych na etykietach wykazach składników – dot. 3 partii pieczywa,</w:t>
      </w:r>
    </w:p>
    <w:p>
      <w:pPr>
        <w:pStyle w:val="Normal"/>
        <w:widowControl/>
        <w:numPr>
          <w:ilvl w:val="0"/>
          <w:numId w:val="5"/>
        </w:numPr>
        <w:overflowPunct w:val="true"/>
        <w:spacing w:lineRule="auto" w:line="276" w:before="113" w:after="113"/>
        <w:ind w:left="0" w:hanging="36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użycie niewłaściwego sformułowania, tj. „Termin przydatności do spożycia” przed datą „13.04.2019” – dot. 4 partii,</w:t>
      </w:r>
    </w:p>
    <w:p>
      <w:pPr>
        <w:pStyle w:val="Normal"/>
        <w:widowControl/>
        <w:numPr>
          <w:ilvl w:val="0"/>
          <w:numId w:val="5"/>
        </w:numPr>
        <w:overflowPunct w:val="true"/>
        <w:spacing w:lineRule="auto" w:line="276" w:before="113" w:after="113"/>
        <w:ind w:left="0" w:hanging="360"/>
        <w:jc w:val="both"/>
        <w:rPr>
          <w:rFonts w:ascii="Palatino Linotype" w:hAnsi="Palatino Linotype" w:eastAsia="Batang" w:cs="Palatino Linotype"/>
          <w:sz w:val="22"/>
          <w:szCs w:val="22"/>
        </w:rPr>
      </w:pPr>
      <w:r>
        <w:rPr>
          <w:rFonts w:eastAsia="Batang" w:cs="Palatino Linotype" w:ascii="Palatino Linotype" w:hAnsi="Palatino Linotype"/>
          <w:sz w:val="22"/>
          <w:szCs w:val="22"/>
        </w:rPr>
        <w:t>brak oznaczenia ilości składnika użytego do wytworzenia, występującego w nazwie środka spożywczego – dot. 3 partii (</w:t>
      </w:r>
      <w:r>
        <w:rPr>
          <w:rFonts w:eastAsia="Batang" w:cs="Palatino Linotype" w:ascii="Palatino Linotype" w:hAnsi="Palatino Linotype"/>
          <w:b/>
          <w:sz w:val="22"/>
          <w:szCs w:val="22"/>
        </w:rPr>
        <w:t>chleba żytniego staropolskiego, orkiszowego i razowego),</w:t>
      </w:r>
    </w:p>
    <w:p>
      <w:pPr>
        <w:pStyle w:val="Normal"/>
        <w:widowControl/>
        <w:numPr>
          <w:ilvl w:val="0"/>
          <w:numId w:val="5"/>
        </w:numPr>
        <w:overflowPunct w:val="true"/>
        <w:spacing w:lineRule="auto" w:line="276" w:before="113" w:after="113"/>
        <w:ind w:left="0" w:hanging="360"/>
        <w:jc w:val="both"/>
        <w:rPr>
          <w:rFonts w:ascii="Palatino Linotype" w:hAnsi="Palatino Linotype" w:eastAsia="Batang" w:cs="Palatino Linotype"/>
          <w:sz w:val="22"/>
          <w:szCs w:val="22"/>
        </w:rPr>
      </w:pPr>
      <w:r>
        <w:rPr>
          <w:rFonts w:eastAsia="Batang" w:cs="Palatino Linotype" w:ascii="Palatino Linotype" w:hAnsi="Palatino Linotype"/>
          <w:sz w:val="22"/>
          <w:szCs w:val="22"/>
        </w:rPr>
        <w:t>brak podania wykazu składników dla wymienionego na etykiecie składnika złożonego, tj.</w:t>
      </w:r>
      <w:r>
        <w:rPr>
          <w:rFonts w:eastAsia="Batang" w:cs="Palatino Linotype" w:ascii="Palatino Linotype" w:hAnsi="Palatino Linotype"/>
          <w:color w:val="FF0000"/>
          <w:sz w:val="22"/>
          <w:szCs w:val="22"/>
        </w:rPr>
        <w:t> </w:t>
      </w:r>
      <w:r>
        <w:rPr>
          <w:rFonts w:eastAsia="Batang" w:cs="Palatino Linotype" w:ascii="Palatino Linotype" w:hAnsi="Palatino Linotype"/>
          <w:sz w:val="22"/>
          <w:szCs w:val="22"/>
        </w:rPr>
        <w:t xml:space="preserve">uldo żytni staropolski – dot. </w:t>
      </w:r>
      <w:r>
        <w:rPr>
          <w:rFonts w:eastAsia="Batang" w:cs="Palatino Linotype" w:ascii="Palatino Linotype" w:hAnsi="Palatino Linotype"/>
          <w:b/>
          <w:sz w:val="22"/>
          <w:szCs w:val="22"/>
        </w:rPr>
        <w:t>chleba żytniego staropolskiego</w:t>
      </w:r>
      <w:r>
        <w:rPr>
          <w:rFonts w:eastAsia="Batang" w:cs="Palatino Linotype" w:ascii="Palatino Linotype" w:hAnsi="Palatino Linotype"/>
          <w:sz w:val="22"/>
          <w:szCs w:val="22"/>
        </w:rPr>
        <w:t>.</w:t>
      </w:r>
    </w:p>
    <w:p>
      <w:pPr>
        <w:pStyle w:val="Normal"/>
        <w:widowControl/>
        <w:numPr>
          <w:ilvl w:val="0"/>
          <w:numId w:val="5"/>
        </w:numPr>
        <w:overflowPunct w:val="true"/>
        <w:spacing w:lineRule="auto" w:line="276" w:before="113" w:after="113"/>
        <w:ind w:left="0" w:hanging="360"/>
        <w:jc w:val="both"/>
        <w:rPr>
          <w:rFonts w:ascii="Palatino Linotype" w:hAnsi="Palatino Linotype" w:eastAsia="Arial Unicode MS" w:cs="Palatino Linotype"/>
          <w:color w:val="000000"/>
          <w:sz w:val="22"/>
          <w:szCs w:val="22"/>
        </w:rPr>
      </w:pP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zastosowanie w oznakowaniu produktu </w:t>
      </w:r>
      <w:r>
        <w:rPr>
          <w:rFonts w:eastAsia="Palatino Linotype" w:cs="Palatino Linotype" w:ascii="Palatino Linotype" w:hAnsi="Palatino Linotype"/>
          <w:b/>
          <w:color w:val="000000"/>
          <w:sz w:val="22"/>
          <w:szCs w:val="22"/>
        </w:rPr>
        <w:t>(w nazwie chleba żytniego staropolskiego oraz przy składniku złożonym uldo w wykazie składników)</w:t>
      </w: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b/>
          <w:bCs/>
          <w:color w:val="000000"/>
          <w:sz w:val="22"/>
          <w:szCs w:val="22"/>
        </w:rPr>
        <w:t>dobrowolnej informacji</w:t>
      </w: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b/>
          <w:bCs/>
          <w:color w:val="000000"/>
          <w:sz w:val="22"/>
          <w:szCs w:val="22"/>
        </w:rPr>
        <w:t>„staropolski”</w:t>
      </w: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, sugerującej produkcję staropolską, tradycyjną metodą. Jednocześnie, ze składu składnika złożonego „uldo żytni”, który stanowi mieszankę do produkcji pieczywa wynika, że jest to </w:t>
      </w:r>
      <w:r>
        <w:rPr>
          <w:rFonts w:eastAsia="Palatino Linotype" w:cs="Palatino Linotype" w:ascii="Palatino Linotype" w:hAnsi="Palatino Linotype"/>
          <w:b/>
          <w:bCs/>
          <w:color w:val="000000"/>
          <w:sz w:val="22"/>
          <w:szCs w:val="22"/>
        </w:rPr>
        <w:t>produkt</w:t>
      </w:r>
      <w:r>
        <w:rPr>
          <w:rFonts w:eastAsia="Arial Unicode MS" w:cs="Palatino Linotype" w:ascii="Palatino Linotype" w:hAnsi="Palatino Linotype"/>
          <w:b/>
          <w:bCs/>
          <w:color w:val="000000"/>
          <w:sz w:val="22"/>
          <w:szCs w:val="22"/>
        </w:rPr>
        <w:t xml:space="preserve"> wytwarzany w warunkach przemysłowych</w:t>
      </w:r>
      <w:r>
        <w:rPr>
          <w:rFonts w:eastAsia="Arial Unicode MS" w:cs="Palatino Linotype" w:ascii="Palatino Linotype" w:hAnsi="Palatino Linotype"/>
          <w:color w:val="000000"/>
          <w:sz w:val="22"/>
          <w:szCs w:val="22"/>
        </w:rPr>
        <w:t xml:space="preserve"> z użyciem dodatków do żywności i innych składników stosowanych powszechnie w przemyśle spożywczym, tj. gluten pszenny, środek do przetwarzania mąki: kwas askorbinowy, enzymy.</w:t>
        <w:tab/>
      </w:r>
    </w:p>
    <w:p>
      <w:pPr>
        <w:pStyle w:val="Normal"/>
        <w:spacing w:lineRule="auto" w:line="276" w:before="113" w:after="113"/>
        <w:jc w:val="both"/>
        <w:rPr>
          <w:rFonts w:ascii="Palatino Linotype" w:hAnsi="Palatino Linotype"/>
          <w:sz w:val="22"/>
          <w:szCs w:val="22"/>
        </w:rPr>
      </w:pPr>
      <w:r>
        <w:rPr>
          <w:rFonts w:eastAsia="Arial Unicode MS" w:cs="Palatino Linotype" w:ascii="Palatino Linotype" w:hAnsi="Palatino Linotype"/>
          <w:color w:val="000000"/>
          <w:sz w:val="22"/>
          <w:szCs w:val="22"/>
        </w:rPr>
        <w:t>Taki sposób oznakowania produktu wprowadza konsumentów w błąd co do faktycznej metody produkcji</w:t>
      </w:r>
    </w:p>
    <w:p>
      <w:pPr>
        <w:pStyle w:val="Normal"/>
        <w:tabs>
          <w:tab w:val="left" w:pos="360" w:leader="none"/>
          <w:tab w:val="left" w:pos="900" w:leader="none"/>
        </w:tabs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      </w:t>
      </w: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>W związku ze stwierdzonymi nieprawidłowościami w oznakowaniu, skierowano wnioski pokontrolne do przedsiębiorców oraz producentów obligujące do poprawy oznaczeń. W</w:t>
      </w:r>
      <w:r>
        <w:rPr>
          <w:rFonts w:cs="Palatino Linotype" w:ascii="Palatino Linotype" w:hAnsi="Palatino Linotype"/>
          <w:color w:val="000000"/>
          <w:sz w:val="22"/>
          <w:szCs w:val="22"/>
        </w:rPr>
        <w:t xml:space="preserve">szczęto również postępowania administracyjne wobec kontrolowanych przedsiębiorców, w zakresie  nałożenia kar finansowych na podstawie </w:t>
      </w:r>
      <w:r>
        <w:rPr>
          <w:rFonts w:cs="Palatino Linotype" w:ascii="Palatino Linotype" w:hAnsi="Palatino Linotype"/>
          <w:sz w:val="22"/>
          <w:szCs w:val="22"/>
        </w:rPr>
        <w:t>art. 40 a ust. 1 pkt 3 ustawy o jakości handlowej.</w:t>
        <w:br/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II. PRZESTRZEGANIE DAT MINIMALNEJ TRWAŁOŚCI ORAZ  WARUNKÓW I SPOSOBU PRZECHOWYWANIA W ODNIESIENIU DO OBOWIĄZUJĄCYCH PRZEPISÓW I DEKLARACJI PRODUCENTÓW 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Tretekstu"/>
        <w:spacing w:lineRule="auto" w:line="27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 </w:t>
      </w:r>
      <w:r>
        <w:rPr>
          <w:rFonts w:cs="Palatino Linotype" w:ascii="Palatino Linotype" w:hAnsi="Palatino Linotype"/>
          <w:b/>
          <w:bCs/>
          <w:sz w:val="22"/>
          <w:szCs w:val="22"/>
        </w:rPr>
        <w:t xml:space="preserve">      </w:t>
      </w:r>
      <w:r>
        <w:rPr>
          <w:rFonts w:cs="Palatino Linotype" w:ascii="Palatino Linotype" w:hAnsi="Palatino Linotype"/>
          <w:sz w:val="22"/>
          <w:szCs w:val="22"/>
        </w:rPr>
        <w:t>W powyższym zakresie sprawdzono 49 partii pieczywa o wartości 1144 zł, nie stwierdzając w tym zakresie nieprawidłowości.</w:t>
      </w:r>
    </w:p>
    <w:p>
      <w:pPr>
        <w:pStyle w:val="Normal"/>
        <w:tabs>
          <w:tab w:val="left" w:pos="24045" w:leader="none"/>
        </w:tabs>
        <w:ind w:left="375" w:hanging="360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   </w:t>
      </w:r>
    </w:p>
    <w:p>
      <w:pPr>
        <w:pStyle w:val="Normal"/>
        <w:tabs>
          <w:tab w:val="left" w:pos="24045" w:leader="none"/>
        </w:tabs>
        <w:ind w:left="375" w:hanging="360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III. LEGALNOŚĆ PROWADZONEJ DZIAŁALNOŚCI GOSPODARCZEJ</w:t>
      </w:r>
    </w:p>
    <w:p>
      <w:pPr>
        <w:pStyle w:val="Normal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 w:eastAsia="Palatino Linotype" w:cs="Palatino Linotype"/>
          <w:color w:val="000000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ab/>
      </w: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Kontrolowane jednostki prowadziły działalność zgodnie z wpisami do Centralnej Ewidencji  i Informacji o Działalności Gospodarczej bądź  </w:t>
      </w:r>
      <w:r>
        <w:rPr>
          <w:rFonts w:eastAsia="Palatino Linotype" w:cs="Palatino Linotype" w:ascii="Palatino Linotype" w:hAnsi="Palatino Linotype"/>
          <w:sz w:val="22"/>
          <w:szCs w:val="22"/>
        </w:rPr>
        <w:t>Centralnej  Informacji Krajowego Rejestru Sądowego.</w:t>
      </w:r>
      <w:r>
        <w:rPr>
          <w:rFonts w:eastAsia="Palatino Linotype" w:cs="Palatino Linotype" w:ascii="Palatino Linotype" w:hAnsi="Palatino Linotype"/>
          <w:color w:val="000000"/>
          <w:sz w:val="22"/>
          <w:szCs w:val="22"/>
        </w:rPr>
        <w:t xml:space="preserve">      </w:t>
      </w:r>
    </w:p>
    <w:p>
      <w:pPr>
        <w:pStyle w:val="Tretekstu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Normal"/>
        <w:tabs>
          <w:tab w:val="left" w:pos="30" w:leader="none"/>
        </w:tabs>
        <w:spacing w:lineRule="auto" w:line="276"/>
        <w:rPr>
          <w:rFonts w:ascii="Palatino Linotype" w:hAnsi="Palatino Linotype" w:cs="Palatino Linotype"/>
          <w:sz w:val="22"/>
          <w:szCs w:val="22"/>
          <w:u w:val="singl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Materiały z kontroli dały podstawę do:</w:t>
        <w:br/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76"/>
        <w:ind w:left="284" w:hanging="360"/>
        <w:jc w:val="both"/>
        <w:textAlignment w:val="auto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>Wszczęcia 4 postępowań administracyjnych</w:t>
      </w:r>
      <w:r>
        <w:rPr>
          <w:rFonts w:cs="Palatino Linotype" w:ascii="Palatino Linotype" w:hAnsi="Palatino Linotype"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sz w:val="22"/>
          <w:szCs w:val="22"/>
          <w:lang w:eastAsia="ar-SA"/>
        </w:rPr>
        <w:t>za wprowadzenie do obrotu produktów o niewłaściwej jakości handlowej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, na </w:t>
      </w:r>
      <w:r>
        <w:rPr>
          <w:rFonts w:cs="Palatino Linotype" w:ascii="Palatino Linotype" w:hAnsi="Palatino Linotype"/>
          <w:sz w:val="22"/>
          <w:szCs w:val="22"/>
        </w:rPr>
        <w:t>podstawie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art.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40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a,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bCs/>
          <w:sz w:val="22"/>
          <w:szCs w:val="22"/>
        </w:rPr>
        <w:t>ust.1.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p</w:t>
      </w:r>
      <w:r>
        <w:rPr>
          <w:rFonts w:cs="Palatino Linotype" w:ascii="Palatino Linotype" w:hAnsi="Palatino Linotype"/>
          <w:b/>
          <w:bCs/>
          <w:sz w:val="22"/>
          <w:szCs w:val="22"/>
        </w:rPr>
        <w:t>kt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  <w:t xml:space="preserve"> 3</w:t>
      </w:r>
      <w:r>
        <w:rPr>
          <w:rFonts w:cs="Palatino Linotype" w:ascii="Palatino Linotype" w:hAnsi="Palatino Linotype"/>
          <w:sz w:val="22"/>
          <w:szCs w:val="22"/>
        </w:rPr>
        <w:t xml:space="preserve"> ustawy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z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dnia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21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grudnia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2000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r.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o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jakości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handlowej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>artykułów</w:t>
      </w:r>
      <w:r>
        <w:rPr>
          <w:rFonts w:eastAsia="Palatino Linotype"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cs="Palatino Linotype" w:ascii="Palatino Linotype" w:hAnsi="Palatino Linotype"/>
          <w:i/>
          <w:sz w:val="22"/>
          <w:szCs w:val="22"/>
        </w:rPr>
        <w:t xml:space="preserve">rolno – spożywczych, </w:t>
      </w:r>
      <w:r>
        <w:rPr>
          <w:rFonts w:cs="Palatino Linotype" w:ascii="Palatino Linotype" w:hAnsi="Palatino Linotype"/>
          <w:sz w:val="22"/>
          <w:szCs w:val="22"/>
        </w:rPr>
        <w:t>w związku</w:t>
      </w:r>
      <w:r>
        <w:rPr>
          <w:rFonts w:cs="Palatino Linotype" w:ascii="Palatino Linotype" w:hAnsi="Palatino Linotype"/>
          <w:i/>
          <w:sz w:val="22"/>
          <w:szCs w:val="22"/>
        </w:rPr>
        <w:t xml:space="preserve"> </w:t>
      </w:r>
      <w:r>
        <w:rPr>
          <w:rFonts w:eastAsia="Palatino Linotype" w:cs="Palatino Linotype" w:ascii="Palatino Linotype" w:hAnsi="Palatino Linotype"/>
          <w:sz w:val="22"/>
          <w:szCs w:val="22"/>
          <w:lang w:eastAsia="ar-SA"/>
        </w:rPr>
        <w:t xml:space="preserve"> z  niewłaściwym oznakowaniem w miejscu sprzedaży bądź na etykietach producenta</w:t>
      </w:r>
      <w:r>
        <w:rPr>
          <w:rFonts w:eastAsia="Palatino Linotype" w:cs="Palatino Linotype" w:ascii="Palatino Linotype" w:hAnsi="Palatino Linotype"/>
          <w:i/>
          <w:sz w:val="22"/>
          <w:szCs w:val="22"/>
          <w:lang w:eastAsia="ar-SA"/>
        </w:rPr>
        <w:t>.</w:t>
      </w:r>
    </w:p>
    <w:p>
      <w:pPr>
        <w:pStyle w:val="Normal"/>
        <w:jc w:val="both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pacing w:lineRule="auto" w:line="276"/>
        <w:ind w:left="284" w:hanging="360"/>
        <w:jc w:val="both"/>
        <w:rPr>
          <w:rFonts w:ascii="Palatino Linotype" w:hAnsi="Palatino Linotype" w:eastAsia="Times New Roman" w:cs="Palatino Linotype"/>
          <w:sz w:val="22"/>
          <w:szCs w:val="22"/>
        </w:rPr>
      </w:pPr>
      <w:r>
        <w:rPr>
          <w:rFonts w:cs="Palatino Linotype" w:ascii="Palatino Linotype" w:hAnsi="Palatino Linotype"/>
          <w:sz w:val="22"/>
          <w:szCs w:val="22"/>
        </w:rPr>
        <w:t>Wydania  w toku kontroli 4 żądań dotyczących zmiany oznakowania i skierowania  wystąpienia pokontrolnego do jednostki nadrzędnej, z wnioskami o wyeliminowanie stwierdzonych nieprawidłowości oraz przekazania jednej informacji do wiadomości właściwego miejscowo Wojewódzkiego Inspektoratu Jakości Handlowej   Artykułów Rolno – Spożywczych.</w:t>
      </w:r>
    </w:p>
    <w:p>
      <w:pPr>
        <w:pStyle w:val="Tretekstu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</w:p>
    <w:p>
      <w:pPr>
        <w:pStyle w:val="Tretekstu"/>
        <w:spacing w:lineRule="auto" w:line="276" w:before="0" w:after="120"/>
        <w:jc w:val="both"/>
        <w:rPr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Kontynuowanie kontroli w przedmiotowym zakresie jest wskazane.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r>
      <mc:AlternateContent>
        <mc:Choice Requires="wps">
          <w:drawing>
            <wp:anchor behindDoc="0" distT="0" distB="0" distL="114935" distR="114935" simplePos="0" locked="0" layoutInCell="1" allowOverlap="1" relativeHeight="4">
              <wp:simplePos x="0" y="0"/>
              <wp:positionH relativeFrom="column">
                <wp:posOffset>981075</wp:posOffset>
              </wp:positionH>
              <wp:positionV relativeFrom="paragraph">
                <wp:posOffset>-128905</wp:posOffset>
              </wp:positionV>
              <wp:extent cx="4317365" cy="1421130"/>
              <wp:effectExtent l="0" t="0" r="0" b="0"/>
              <wp:wrapSquare wrapText="bothSides"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7365" cy="142113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339.95pt;height:111.9pt;mso-wrap-distance-left:9.05pt;mso-wrap-distance-right:9.05pt;mso-wrap-distance-top:0pt;mso-wrap-distance-bottom:0pt;margin-top:-10.15pt;mso-position-vertical-relative:text;margin-left:77.25pt;mso-position-horizontal-relative:text">
              <v:textbox inset="0in,0in,0in,0in">
                <w:txbxContent>
                  <w:p>
                    <w:pPr>
                      <w:pStyle w:val="Zawartoramki"/>
                      <w:jc w:val="center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18"/>
        <w:szCs w:val="18"/>
        <w:rFonts w:cs="Star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6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Nagwek2">
    <w:name w:val="Heading 2"/>
    <w:basedOn w:val="Normal"/>
    <w:link w:val="Nagwek2Znak"/>
    <w:qFormat/>
    <w:rsid w:val="005f7afe"/>
    <w:pPr>
      <w:keepNext/>
      <w:widowControl/>
      <w:numPr>
        <w:ilvl w:val="1"/>
        <w:numId w:val="1"/>
      </w:numPr>
      <w:textAlignment w:val="auto"/>
      <w:outlineLvl w:val="1"/>
      <w:outlineLvl w:val="1"/>
    </w:pPr>
    <w:rPr>
      <w:rFonts w:ascii="Times New Roman" w:hAnsi="Times New Roman" w:eastAsia="Times New Roman" w:cs="Times New Roman"/>
      <w:b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Nagwek2Znak" w:customStyle="1">
    <w:name w:val="Nagłówek 2 Znak"/>
    <w:basedOn w:val="DefaultParagraphFont"/>
    <w:link w:val="Nagwek2"/>
    <w:qFormat/>
    <w:rsid w:val="005f7afe"/>
    <w:rPr>
      <w:rFonts w:ascii="Times New Roman" w:hAnsi="Times New Roman" w:eastAsia="Times New Roman" w:cs="Times New Roman"/>
      <w:b/>
      <w:szCs w:val="20"/>
      <w:lang w:bidi="ar-SA"/>
    </w:rPr>
  </w:style>
  <w:style w:type="character" w:styleId="Pagenumber">
    <w:name w:val="page number"/>
    <w:basedOn w:val="DefaultParagraphFont"/>
    <w:qFormat/>
    <w:rsid w:val="005f7afe"/>
    <w:rPr/>
  </w:style>
  <w:style w:type="character" w:styleId="NagwekZnak" w:customStyle="1">
    <w:name w:val="Nagłówek Znak"/>
    <w:basedOn w:val="DefaultParagraphFont"/>
    <w:link w:val="Nagwek"/>
    <w:qFormat/>
    <w:rsid w:val="005f7afe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ae5fe3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479e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Arial" w:hAnsi="Arial"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link w:val="TekstpodstawowyZnak"/>
    <w:rsid w:val="00ae5fe3"/>
    <w:pPr>
      <w:widowControl/>
      <w:spacing w:before="0" w:after="120"/>
      <w:textAlignment w:val="auto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ramki" w:customStyle="1">
    <w:name w:val="Zawartość ramki"/>
    <w:basedOn w:val="Standard"/>
    <w:qFormat/>
    <w:pPr/>
    <w:rPr/>
  </w:style>
  <w:style w:type="paragraph" w:styleId="Gwka">
    <w:name w:val="Header"/>
    <w:basedOn w:val="Normal"/>
    <w:link w:val="NagwekZnak"/>
    <w:rsid w:val="005f7afe"/>
    <w:pPr>
      <w:widowControl/>
      <w:suppressLineNumbers/>
      <w:tabs>
        <w:tab w:val="center" w:pos="4819" w:leader="none"/>
        <w:tab w:val="right" w:pos="9638" w:leader="none"/>
      </w:tabs>
      <w:textAlignment w:val="auto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479e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23772b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D25B-ADDF-4584-8CB2-28768B0F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Application>LibreOffice/5.3.2.2$Windows_x86 LibreOffice_project/6cd4f1ef626f15116896b1d8e1398b56da0d0ee1</Application>
  <Pages>4</Pages>
  <Words>685</Words>
  <Characters>4468</Characters>
  <CharactersWithSpaces>5300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2019-06-28T09:49:00Z</dcterms:created>
  <dc:creator>WIIH</dc:creator>
  <dc:description/>
  <dc:language>pl-PL</dc:language>
  <cp:lastModifiedBy/>
  <cp:lastPrinted>2019-07-01T11:55:00Z</cp:lastPrinted>
  <dcterms:modified xsi:type="dcterms:W3CDTF">2020-02-25T07:52:58Z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