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462" w:type="dxa"/>
        <w:jc w:val="left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221"/>
        <w:gridCol w:w="6323"/>
        <w:gridCol w:w="1918"/>
      </w:tblGrid>
      <w:tr>
        <w:trPr/>
        <w:tc>
          <w:tcPr>
            <w:tcW w:w="2221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Zawartotabeli"/>
              <w:rPr>
                <w:sz w:val="28"/>
                <w:b/>
                <w:sz w:val="28"/>
                <w:b/>
                <w:szCs w:val="28"/>
              </w:rPr>
            </w:pPr>
            <w:r>
              <w:rPr/>
              <w:drawing>
                <wp:inline distT="0" distB="0" distL="0" distR="0">
                  <wp:extent cx="1343025" cy="74295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323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8"/>
                <w:b/>
                <w:sz w:val="28"/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WOJEWÓDZKI INSPEKTORAT</w:t>
            </w:r>
            <w:r/>
          </w:p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Arial" w:hAnsi="Arial" w:cs="Arial"/>
              </w:rPr>
            </w:pPr>
            <w:r>
              <w:rPr>
                <w:b/>
                <w:sz w:val="28"/>
                <w:szCs w:val="28"/>
              </w:rPr>
              <w:t>INSPEKCJI HANDLOWEJ</w:t>
            </w:r>
            <w:r/>
          </w:p>
          <w:p>
            <w:pPr>
              <w:pStyle w:val="Normal"/>
              <w:jc w:val="center"/>
              <w:rPr>
                <w:sz w:val="16"/>
                <w:b/>
                <w:sz w:val="16"/>
                <w:b/>
                <w:szCs w:val="16"/>
                <w:rFonts w:ascii="Arial" w:hAnsi="Arial" w:cs="Arial"/>
                <w:lang w:eastAsia="zh-CN"/>
              </w:rPr>
            </w:pPr>
            <w:r>
              <w:rPr>
                <w:rFonts w:cs="Arial" w:ascii="Arial" w:hAnsi="Arial"/>
                <w:b/>
                <w:sz w:val="16"/>
                <w:szCs w:val="16"/>
              </w:rPr>
            </w:r>
            <w:r/>
          </w:p>
          <w:p>
            <w:pPr>
              <w:pStyle w:val="Normal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>25-501 Kielce, ul. Sienkiewicza 76</w:t>
            </w:r>
            <w:r/>
          </w:p>
          <w:p>
            <w:pPr>
              <w:pStyle w:val="Normal"/>
              <w:jc w:val="center"/>
              <w:rPr>
                <w:sz w:val="16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tel. 366-19-41, fax 366-22-34 , e-mail : </w:t>
            </w:r>
            <w:hyperlink r:id="rId3">
              <w:r>
                <w:rPr>
                  <w:rStyle w:val="Czeinternetowe"/>
                  <w:sz w:val="16"/>
                  <w:szCs w:val="16"/>
                </w:rPr>
                <w:t>wiih.kielce@pro.onet.pl</w:t>
              </w:r>
            </w:hyperlink>
            <w:r/>
          </w:p>
          <w:p>
            <w:pPr>
              <w:pStyle w:val="Normal"/>
              <w:jc w:val="center"/>
              <w:rPr>
                <w:sz w:val="16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1918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Zawartotabeli"/>
              <w:jc w:val="right"/>
              <w:rPr>
                <w:sz w:val="16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</w:r>
            <w:r/>
          </w:p>
        </w:tc>
      </w:tr>
    </w:tbl>
    <w:p>
      <w:pPr>
        <w:pStyle w:val="Normal"/>
      </w:pPr>
      <w:r>
        <w:rPr/>
      </w:r>
      <w:r/>
    </w:p>
    <w:tbl>
      <w:tblPr>
        <w:tblW w:w="1006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0"/>
        <w:gridCol w:w="5029"/>
      </w:tblGrid>
      <w:tr>
        <w:trPr/>
        <w:tc>
          <w:tcPr>
            <w:tcW w:w="5030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both"/>
              <w:rPr>
                <w:sz w:val="22"/>
                <w:sz w:val="22"/>
                <w:szCs w:val="22"/>
                <w:rFonts w:ascii="Palatino Linotype" w:hAnsi="Palatino Linotype" w:cs="Palatino Linotype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  <w:t>PU</w:t>
            </w:r>
            <w:r>
              <w:rPr>
                <w:rFonts w:eastAsia="Palatino Linotype" w:cs="Palatino Linotype" w:ascii="Palatino Linotype" w:hAnsi="Palatino Linotype"/>
                <w:sz w:val="22"/>
                <w:szCs w:val="22"/>
              </w:rPr>
              <w:t xml:space="preserve">.833. </w:t>
            </w:r>
            <w:r>
              <w:rPr>
                <w:rFonts w:eastAsia="Palatino Linotype" w:cs="Palatino Linotype" w:ascii="Palatino Linotype" w:hAnsi="Palatino Linotype"/>
                <w:b/>
                <w:sz w:val="22"/>
                <w:szCs w:val="22"/>
              </w:rPr>
              <w:t>24</w:t>
            </w:r>
            <w:r>
              <w:rPr>
                <w:rFonts w:eastAsia="Palatino Linotype" w:cs="Palatino Linotype" w:ascii="Palatino Linotype" w:hAnsi="Palatino Linotype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Palatino Linotype" w:cs="Palatino Linotype" w:ascii="Palatino Linotype" w:hAnsi="Palatino Linotype"/>
                <w:sz w:val="22"/>
                <w:szCs w:val="22"/>
              </w:rPr>
              <w:t>.</w:t>
            </w:r>
            <w:r>
              <w:rPr>
                <w:rFonts w:cs="Palatino Linotype" w:ascii="Palatino Linotype" w:hAnsi="Palatino Linotype"/>
                <w:sz w:val="22"/>
                <w:szCs w:val="22"/>
              </w:rPr>
              <w:t>2018</w:t>
            </w:r>
            <w:r/>
          </w:p>
        </w:tc>
        <w:tc>
          <w:tcPr>
            <w:tcW w:w="5029" w:type="dxa"/>
            <w:tcBorders/>
            <w:shd w:color="auto" w:fill="auto" w:val="clear"/>
          </w:tcPr>
          <w:p>
            <w:pPr>
              <w:pStyle w:val="Normal"/>
              <w:spacing w:lineRule="auto" w:line="360"/>
              <w:jc w:val="right"/>
              <w:rPr>
                <w:sz w:val="22"/>
                <w:sz w:val="22"/>
                <w:szCs w:val="22"/>
                <w:rFonts w:ascii="Palatino Linotype" w:hAnsi="Palatino Linotype" w:cs="Palatino Linotype"/>
                <w:lang w:eastAsia="zh-CN"/>
              </w:rPr>
            </w:pPr>
            <w:r>
              <w:rPr>
                <w:rFonts w:cs="Palatino Linotype" w:ascii="Palatino Linotype" w:hAnsi="Palatino Linotype"/>
                <w:sz w:val="22"/>
                <w:szCs w:val="22"/>
              </w:rPr>
            </w:r>
            <w:r/>
          </w:p>
        </w:tc>
      </w:tr>
    </w:tbl>
    <w:p>
      <w:pPr>
        <w:pStyle w:val="Normal"/>
        <w:spacing w:lineRule="auto" w:line="360"/>
        <w:jc w:val="center"/>
        <w:rPr>
          <w:sz w:val="24"/>
          <w:sz w:val="24"/>
          <w:szCs w:val="24"/>
          <w:lang w:eastAsia="zh-CN"/>
        </w:rPr>
      </w:pPr>
      <w:r>
        <w:rPr/>
      </w:r>
      <w:r/>
    </w:p>
    <w:p>
      <w:pPr>
        <w:pStyle w:val="Normal"/>
        <w:spacing w:lineRule="auto" w:line="360"/>
        <w:jc w:val="center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jc w:val="center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jc w:val="center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jc w:val="center"/>
        <w:rPr>
          <w:sz w:val="32"/>
          <w:b/>
          <w:sz w:val="32"/>
          <w:b/>
          <w:szCs w:val="32"/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b/>
          <w:sz w:val="32"/>
          <w:szCs w:val="32"/>
        </w:rPr>
        <w:t>INFORMACJA</w:t>
      </w:r>
      <w:r/>
    </w:p>
    <w:p>
      <w:pPr>
        <w:pStyle w:val="Normal"/>
        <w:spacing w:lineRule="auto" w:line="360"/>
        <w:jc w:val="center"/>
        <w:rPr>
          <w:sz w:val="32"/>
          <w:b/>
          <w:sz w:val="32"/>
          <w:b/>
          <w:szCs w:val="32"/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b/>
          <w:sz w:val="32"/>
          <w:szCs w:val="32"/>
        </w:rPr>
        <w:t>o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wynikach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kontroli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bCs/>
          <w:sz w:val="32"/>
          <w:szCs w:val="32"/>
        </w:rPr>
        <w:t>produktów biobójczych oferowanych w placówkach hurtowych i detalicznych</w:t>
      </w:r>
      <w:r>
        <w:rPr>
          <w:rFonts w:cs="Palatino Linotype" w:ascii="Palatino Linotype" w:hAnsi="Palatino Linotype"/>
          <w:b/>
          <w:sz w:val="32"/>
          <w:szCs w:val="32"/>
        </w:rPr>
        <w:t>,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przeprowadzonych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przez Wojewódzki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Inspektorat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Inspekcji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Handlowej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w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Kielcach</w:t>
      </w:r>
      <w:r/>
    </w:p>
    <w:p>
      <w:pPr>
        <w:pStyle w:val="Normal"/>
        <w:spacing w:lineRule="auto" w:line="360"/>
        <w:jc w:val="center"/>
        <w:rPr>
          <w:sz w:val="32"/>
          <w:b/>
          <w:sz w:val="32"/>
          <w:b/>
          <w:szCs w:val="32"/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b/>
          <w:sz w:val="32"/>
          <w:szCs w:val="32"/>
        </w:rPr>
        <w:t>w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III kwartale </w:t>
      </w:r>
      <w:r>
        <w:rPr>
          <w:rFonts w:cs="Palatino Linotype" w:ascii="Palatino Linotype" w:hAnsi="Palatino Linotype"/>
          <w:b/>
          <w:sz w:val="32"/>
          <w:szCs w:val="32"/>
        </w:rPr>
        <w:t>2018</w:t>
      </w:r>
      <w:r>
        <w:rPr>
          <w:rFonts w:eastAsia="Palatino Linotype" w:cs="Palatino Linotype" w:ascii="Palatino Linotype" w:hAnsi="Palatino Linotype"/>
          <w:b/>
          <w:sz w:val="32"/>
          <w:szCs w:val="32"/>
        </w:rPr>
        <w:t xml:space="preserve"> </w:t>
      </w:r>
      <w:r>
        <w:rPr>
          <w:rFonts w:cs="Palatino Linotype" w:ascii="Palatino Linotype" w:hAnsi="Palatino Linotype"/>
          <w:b/>
          <w:sz w:val="32"/>
          <w:szCs w:val="32"/>
        </w:rPr>
        <w:t>r.</w:t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rPr>
          <w:sz w:val="32"/>
          <w:b/>
          <w:sz w:val="32"/>
          <w:b/>
          <w:szCs w:val="3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32"/>
          <w:szCs w:val="32"/>
        </w:rPr>
      </w:r>
      <w:r/>
    </w:p>
    <w:p>
      <w:pPr>
        <w:pStyle w:val="Normal"/>
        <w:spacing w:lineRule="auto" w:line="360"/>
        <w:jc w:val="center"/>
        <w:rPr>
          <w:sz w:val="22"/>
          <w:sz w:val="22"/>
          <w:szCs w:val="22"/>
          <w:rFonts w:ascii="Palatino Linotype" w:hAnsi="Palatino Linotype" w:cs="Palatino Linotype"/>
        </w:rPr>
      </w:pPr>
      <w:r>
        <w:rPr>
          <w:sz w:val="28"/>
          <w:szCs w:val="28"/>
        </w:rPr>
        <w:t>Kielce, październik 2018 r.</w:t>
      </w:r>
      <w:r/>
    </w:p>
    <w:p>
      <w:pPr>
        <w:pStyle w:val="Normal"/>
        <w:spacing w:lineRule="auto" w:line="360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360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sz w:val="22"/>
          <w:szCs w:val="22"/>
        </w:rPr>
        <w:t>Wydział Kontroli Artykułów Przemysłowych i Usług WIIH w Kielcach, zgodnie z programem kontroli nr DIH-702-16(1)/18/JG z dnia 29.06.2018 r. przeprowadził kontrole w 2 podmiotach gospodarczych na terenie województwa  świętokrzyskiego.</w:t>
      </w:r>
      <w:r/>
    </w:p>
    <w:p>
      <w:pPr>
        <w:pStyle w:val="Normal"/>
        <w:spacing w:lineRule="auto" w:line="276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ind w:firstLine="708"/>
        <w:jc w:val="both"/>
      </w:pPr>
      <w:r>
        <w:rPr>
          <w:rFonts w:cs="Palatino Linotype" w:ascii="Palatino Linotype" w:hAnsi="Palatino Linotype"/>
          <w:sz w:val="22"/>
          <w:szCs w:val="22"/>
        </w:rPr>
        <w:t>Celem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kontroli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było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sprawdzenie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sz w:val="22"/>
          <w:szCs w:val="22"/>
        </w:rPr>
        <w:t>prawidłowości oznakowania opakowań oraz oznakowania opakowań jednostkowych produktów biobójczych, wyrobów poddanych działaniu produktów biobójczych, a także sprawdzenie prawidłowości obrotu tymi wyrobami w sprzedaży hurtowej i detalicznej.</w:t>
      </w:r>
      <w:r/>
    </w:p>
    <w:p>
      <w:pPr>
        <w:pStyle w:val="Normal"/>
        <w:spacing w:lineRule="auto" w:line="276"/>
        <w:jc w:val="both"/>
      </w:pPr>
      <w:r>
        <w:rPr>
          <w:rFonts w:cs="Palatino Linotype" w:ascii="Palatino Linotype" w:hAnsi="Palatino Linotype"/>
          <w:b/>
          <w:sz w:val="22"/>
          <w:szCs w:val="22"/>
        </w:rPr>
        <w:t>Ustalenia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sz w:val="22"/>
          <w:szCs w:val="22"/>
        </w:rPr>
        <w:t>kontroli:</w:t>
      </w:r>
      <w:r/>
    </w:p>
    <w:p>
      <w:pPr>
        <w:pStyle w:val="Normal"/>
        <w:spacing w:lineRule="auto" w:line="276"/>
        <w:jc w:val="both"/>
        <w:rPr>
          <w:sz w:val="22"/>
          <w:b/>
          <w:sz w:val="22"/>
          <w:b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jc w:val="both"/>
      </w:pPr>
      <w:r>
        <w:rPr>
          <w:rFonts w:cs="Palatino Linotype" w:ascii="Palatino Linotype" w:hAnsi="Palatino Linotype"/>
          <w:b/>
          <w:sz w:val="22"/>
          <w:szCs w:val="22"/>
        </w:rPr>
        <w:t>Prawidłowość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sz w:val="22"/>
          <w:szCs w:val="22"/>
        </w:rPr>
        <w:t>wprowadzania do obrotu i oznakowania</w:t>
      </w:r>
      <w:r>
        <w:rPr>
          <w:rFonts w:eastAsia="Palatino Linotype" w:cs="Palatino Linotype" w:ascii="Palatino Linotype" w:hAnsi="Palatino Linotype"/>
          <w:b/>
          <w:sz w:val="22"/>
          <w:szCs w:val="22"/>
        </w:rPr>
        <w:t xml:space="preserve"> </w:t>
      </w:r>
      <w:r>
        <w:rPr>
          <w:rFonts w:cs="Palatino Linotype" w:ascii="Palatino Linotype" w:hAnsi="Palatino Linotype"/>
          <w:b/>
          <w:sz w:val="22"/>
          <w:szCs w:val="22"/>
        </w:rPr>
        <w:t>wyrobów:</w:t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Palatino Linotype" w:hAnsi="Palatino Linotype" w:eastAsia="Palatino Linotype" w:cs="Palatino Linotype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  <w:t>W zakresie prawidłowości oznakowania opakowań jednostkowych kontrolą objęto 6 partii produktów biobójczych, w tym:</w:t>
      </w:r>
      <w:r/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/>
        <w:jc w:val="both"/>
        <w:rPr>
          <w:sz w:val="22"/>
          <w:b w:val="false"/>
          <w:sz w:val="22"/>
          <w:b w:val="false"/>
          <w:szCs w:val="22"/>
          <w:rFonts w:ascii="Palatino Linotype" w:hAnsi="Palatino Linotype" w:eastAsia="Palatino Linotype"/>
        </w:rPr>
      </w:pPr>
      <w:r>
        <w:rPr>
          <w:rStyle w:val="Strong"/>
          <w:rFonts w:eastAsia="Palatino Linotype" w:ascii="Palatino Linotype" w:hAnsi="Palatino Linotype"/>
          <w:b w:val="false"/>
          <w:sz w:val="22"/>
          <w:szCs w:val="22"/>
        </w:rPr>
        <w:t>2 partie środków owadobójczych: SUBSTRAL Długo Działający POLYSECT 005SL, BEST-PEST na mrówki;</w:t>
      </w:r>
      <w:r/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/>
        <w:jc w:val="both"/>
        <w:rPr>
          <w:sz w:val="22"/>
          <w:b w:val="false"/>
          <w:sz w:val="22"/>
          <w:b w:val="false"/>
          <w:szCs w:val="22"/>
          <w:rFonts w:ascii="Palatino Linotype" w:hAnsi="Palatino Linotype" w:eastAsia="Palatino Linotype"/>
        </w:rPr>
      </w:pPr>
      <w:r>
        <w:rPr>
          <w:rStyle w:val="Strong"/>
          <w:rFonts w:eastAsia="Palatino Linotype" w:ascii="Palatino Linotype" w:hAnsi="Palatino Linotype"/>
          <w:b w:val="false"/>
          <w:sz w:val="22"/>
          <w:szCs w:val="22"/>
        </w:rPr>
        <w:t>3 partie środków grzybobójczych: AGRECOL  MIEDZIAN 50WP, TOPAS 100EC, REVUS 250 S.C.;</w:t>
      </w:r>
      <w:r/>
    </w:p>
    <w:p>
      <w:pPr>
        <w:pStyle w:val="Normal"/>
        <w:numPr>
          <w:ilvl w:val="0"/>
          <w:numId w:val="3"/>
        </w:numPr>
        <w:tabs>
          <w:tab w:val="left" w:pos="360" w:leader="none"/>
        </w:tabs>
        <w:suppressAutoHyphens w:val="false"/>
        <w:spacing w:lineRule="auto" w:line="276"/>
        <w:jc w:val="both"/>
        <w:rPr>
          <w:sz w:val="22"/>
          <w:b w:val="false"/>
          <w:sz w:val="22"/>
          <w:b w:val="false"/>
          <w:szCs w:val="22"/>
          <w:rFonts w:ascii="Palatino Linotype" w:hAnsi="Palatino Linotype" w:eastAsia="Palatino Linotype"/>
        </w:rPr>
      </w:pPr>
      <w:r>
        <w:rPr>
          <w:rStyle w:val="Strong"/>
          <w:rFonts w:eastAsia="Palatino Linotype" w:ascii="Palatino Linotype" w:hAnsi="Palatino Linotype"/>
          <w:b w:val="false"/>
          <w:sz w:val="22"/>
          <w:szCs w:val="22"/>
        </w:rPr>
        <w:t>1 partię środka do zwalczania myszy i szczurów: SUMIN trutka gryzoniobójcza.</w:t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Palatino Linotype" w:hAnsi="Palatino Linotype" w:eastAsia="Palatino Linotype" w:cs="Palatino Linotype"/>
          <w:lang w:eastAsia="zh-CN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  <w:r/>
    </w:p>
    <w:p>
      <w:pPr>
        <w:pStyle w:val="Normal"/>
        <w:suppressAutoHyphens w:val="false"/>
        <w:spacing w:lineRule="auto" w:line="276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W ofertach handlowych skontrolowanych placówek nie było wyrobów poddanych działaniu produktów biobójczych.</w:t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Palatino Linotype" w:hAnsi="Palatino Linotype" w:eastAsia="Palatino Linotype" w:cs="Palatino Linotype"/>
          <w:lang w:eastAsia="zh-CN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 xml:space="preserve">Produkty biobójcze objęte kontrolą, zgodnie z art. 31 i 32 ustawy </w:t>
      </w:r>
      <w:r>
        <w:rPr>
          <w:rFonts w:cs="Palatino Linotype" w:ascii="Palatino Linotype" w:hAnsi="Palatino Linotype"/>
          <w:i/>
          <w:color w:val="000000"/>
          <w:sz w:val="22"/>
          <w:szCs w:val="22"/>
          <w:shd w:fill="FFFFFF" w:val="clear"/>
        </w:rPr>
        <w:t>o produktach biobójczych</w:t>
      </w: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>,  znajdowały się w oryginalnych, szczelnych opakowaniach jednostkowych, wykluczających możliwość pomyłkowego zastosowania do innych celów. Zgodnie z art. 6 ust. 2 w/w ustawy, wyroby te posiadały oznakowanie w języku polskim.</w:t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  <w:lang w:eastAsia="zh-CN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 xml:space="preserve">Sprawdzenie prawidłowości oznakowania w/w produktów biobójczych wykazało, że na etykietach opakowań jednostkowych kontrolowanych wyrobów były umieszczone informacje zgodnie z  wymogami art. 33 ust. 3 ustawy </w:t>
      </w:r>
      <w:r>
        <w:rPr>
          <w:rFonts w:cs="Palatino Linotype" w:ascii="Palatino Linotype" w:hAnsi="Palatino Linotype"/>
          <w:i/>
          <w:color w:val="000000"/>
          <w:sz w:val="22"/>
          <w:szCs w:val="22"/>
          <w:shd w:fill="FFFFFF" w:val="clear"/>
        </w:rPr>
        <w:t>o produktach biobójczych</w:t>
      </w: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>, określające  :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nazwę produktu biobójczego;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tożsamość wszystkich substancji czynnych i ich stężeń podane w jednostkach metrycznych;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numer  pozwolenia na obrót 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imię i nazwisko oraz adres albo nazwę (firmę) oraz adres siedziby oraz numer telefonu podmiotu odpowiedzialnego;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 xml:space="preserve"> </w:t>
      </w:r>
      <w:r>
        <w:rPr>
          <w:rFonts w:cs="Palatino Linotype" w:ascii="Palatino Linotype" w:hAnsi="Palatino Linotype"/>
          <w:color w:val="000000"/>
          <w:sz w:val="22"/>
          <w:szCs w:val="22"/>
        </w:rPr>
        <w:t>postać użytkową produktu biobójczego;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zakres stosowania produktu biobójczego;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zalecenia dotyczące stosowania, dawki lub ilości wyrażone w jednostkach metrycznych dla każdego zakresu stosowania produktu biobójczego;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informacje szczegółowe dotyczące bezpośrednich i pośrednich ubocznych skutków stosowania produktu biobójczego, jeżeli dotyczy, i wskazówki dotyczące  udzielania pierwszej pomocy;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napis „przed użyciem przeczytaj załączoną ulotkę informacyjną”, jeżeli była dołączona do produktu biobójczego;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zalecenia dotyczące bezpiecznego postępowania z odpadami produktu biobójczego i jego opakowaniem, zgodnie z przepisami o odpadach i odpadach opakowaniowych;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numer serii i datę ważności uwzględniającą normalne warunki przechowywania produktu biobójczego;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okres od zastosowania produktu biobójczego do uzyskania skutku biobójczego, okresy między kolejnymi zastosowaniami, okres między zastosowaniem produktu biobójczego a użytkowaniem rzeczy, w stosunku do której został zastosowany produkt biobójczy, lub okres, po którym  ludzie lub zwierzęta mogą przebywać na terenie, gdzie produkt biobójczy był stosowany, szczegółowe zalecenia odnośnie sposobów i  środków stosowanych w celu usunięcia skażeń produktem biobójczych, jeżeli dotyczy;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informację na temat wentylacji pomieszczeń, w których ma być zastosowany produkt biobójczy, szczegółowe informację dotyczące odpowiedniego czyszczenia sprzętu służącego do wykonywania zabiegów, szczególne środki ostrożności, jakie należy zachować w czasie wykonywania zabiegu przechowywania i transportu, jeżeli dotyczy.</w:t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  <w:lang w:eastAsia="zh-CN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</w:r>
      <w:r/>
    </w:p>
    <w:p>
      <w:pPr>
        <w:pStyle w:val="Normal"/>
        <w:spacing w:lineRule="auto" w:line="276"/>
        <w:ind w:firstLine="72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bookmarkStart w:id="0" w:name="_GoBack"/>
      <w:bookmarkEnd w:id="0"/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>W  przypadkach uzasadnionych względami bezpiecznego stosowania produktu biobójczego treść oznakowania opakowania produktu biobójczego dodatkowo zawierała następujące informacje: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rodzaj użytkowników, jeżeli produkt biobójczy jest wyłącznie dla nich przeznaczony;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>informację o każdym szczególnym zagrożeniu dla środowiska, szczególnie w odniesieniu do organizmów niebędących przedmiotem zwalczania, oraz o konieczności unikania zanieczyszczenia gleby i wody;</w:t>
      </w:r>
      <w:r/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spacing w:lineRule="auto" w:line="276"/>
        <w:ind w:left="360" w:hanging="360"/>
        <w:jc w:val="both"/>
        <w:rPr>
          <w:sz w:val="22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</w:rPr>
        <w:t xml:space="preserve">w przypadku mikrobiologicznych i chemicznych produktów biobójczych  informacje wymagane przez przepisy dotyczące bezpieczeństwa i higieny pracy. </w:t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 xml:space="preserve">Informacje te zawarto na etykietach i/lub ulotkach zgodnie z art. 33 ust. 5 ustawy </w:t>
      </w:r>
      <w:r>
        <w:rPr>
          <w:rFonts w:cs="Palatino Linotype" w:ascii="Palatino Linotype" w:hAnsi="Palatino Linotype"/>
          <w:i/>
          <w:color w:val="000000"/>
          <w:sz w:val="22"/>
          <w:szCs w:val="22"/>
          <w:shd w:fill="FFFFFF" w:val="clear"/>
        </w:rPr>
        <w:t>o produktach biobójczych</w:t>
      </w: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 xml:space="preserve">. </w:t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  <w:lang w:eastAsia="zh-CN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 xml:space="preserve">Skontrolowane produkty były sklasyfikowane oraz posiadały oznakowania zgodne z przepisami ustawy </w:t>
      </w:r>
      <w:r>
        <w:rPr>
          <w:rFonts w:cs="Palatino Linotype" w:ascii="Palatino Linotype" w:hAnsi="Palatino Linotype"/>
          <w:i/>
          <w:color w:val="000000"/>
          <w:sz w:val="22"/>
          <w:szCs w:val="22"/>
          <w:shd w:fill="FFFFFF" w:val="clear"/>
        </w:rPr>
        <w:t>o substancjach chemicznych i ich mieszaninach</w:t>
      </w: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>.</w:t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 xml:space="preserve">Oznakowanie kontrolowanych wyrobów zakwalifikowanych jako niebezpieczne spełniało również wymogi rozporządzenia Parlamentu Europejskiego i Rady (WE) nr 1272/2008 tzw. </w:t>
      </w:r>
      <w:r>
        <w:rPr>
          <w:rFonts w:cs="Palatino Linotype" w:ascii="Palatino Linotype" w:hAnsi="Palatino Linotype"/>
          <w:i/>
          <w:color w:val="000000"/>
          <w:sz w:val="22"/>
          <w:szCs w:val="22"/>
          <w:shd w:fill="FFFFFF" w:val="clear"/>
        </w:rPr>
        <w:t>rozporządzenia CLP</w:t>
      </w: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  <w:t>.</w:t>
      </w:r>
      <w:r/>
    </w:p>
    <w:p>
      <w:pPr>
        <w:pStyle w:val="Normal"/>
        <w:spacing w:lineRule="auto" w:line="276"/>
        <w:ind w:firstLine="720"/>
        <w:jc w:val="both"/>
        <w:rPr>
          <w:sz w:val="22"/>
          <w:shd w:fill="FFFFFF" w:val="clear"/>
          <w:sz w:val="22"/>
          <w:szCs w:val="22"/>
          <w:rFonts w:ascii="Palatino Linotype" w:hAnsi="Palatino Linotype" w:cs="Palatino Linotype"/>
          <w:color w:val="000000"/>
          <w:lang w:eastAsia="zh-CN"/>
        </w:rPr>
      </w:pPr>
      <w:r>
        <w:rPr>
          <w:rFonts w:cs="Palatino Linotype" w:ascii="Palatino Linotype" w:hAnsi="Palatino Linotype"/>
          <w:color w:val="000000"/>
          <w:sz w:val="22"/>
          <w:szCs w:val="22"/>
          <w:shd w:fill="FFFFFF" w:val="clear"/>
        </w:rPr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jc w:val="both"/>
      </w:pPr>
      <w:r>
        <w:rPr>
          <w:rFonts w:cs="Palatino Linotype" w:ascii="Palatino Linotype" w:hAnsi="Palatino Linotype"/>
          <w:b/>
          <w:sz w:val="22"/>
          <w:szCs w:val="22"/>
        </w:rPr>
        <w:t>Przestrzeganie obowiązku informowania konsumentów o opakowaniach i odpadach opakowaniowych produktów:</w:t>
      </w:r>
      <w:r/>
    </w:p>
    <w:p>
      <w:pPr>
        <w:pStyle w:val="Normal"/>
        <w:tabs>
          <w:tab w:val="left" w:pos="720" w:leader="none"/>
          <w:tab w:val="left" w:pos="1389" w:leader="none"/>
        </w:tabs>
        <w:spacing w:lineRule="auto" w:line="276"/>
        <w:jc w:val="both"/>
        <w:rPr>
          <w:sz w:val="22"/>
          <w:sz w:val="22"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ind w:firstLine="708"/>
        <w:jc w:val="both"/>
        <w:rPr>
          <w:sz w:val="22"/>
          <w:sz w:val="22"/>
          <w:szCs w:val="22"/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sz w:val="22"/>
          <w:szCs w:val="22"/>
        </w:rPr>
        <w:t xml:space="preserve">W obu skontrolowanych placówkach sprawdzono przestrzeganie obowiązku informowania konsumentów o opakowaniach i odpadach opakowaniowych, zgodnie z wymaganiami ustawy </w:t>
      </w:r>
      <w:r>
        <w:rPr>
          <w:rFonts w:cs="Palatino Linotype" w:ascii="Palatino Linotype" w:hAnsi="Palatino Linotype"/>
          <w:i/>
          <w:sz w:val="22"/>
          <w:szCs w:val="22"/>
        </w:rPr>
        <w:t>o gospodarce opakowaniami i odpadami opakowaniowymi</w:t>
      </w:r>
      <w:r>
        <w:rPr>
          <w:rFonts w:cs="Palatino Linotype" w:ascii="Palatino Linotype" w:hAnsi="Palatino Linotype"/>
          <w:sz w:val="22"/>
          <w:szCs w:val="22"/>
        </w:rPr>
        <w:t xml:space="preserve"> – bez uwag.</w:t>
      </w:r>
      <w:r/>
    </w:p>
    <w:p>
      <w:pPr>
        <w:pStyle w:val="Normal"/>
        <w:spacing w:lineRule="auto" w:line="276"/>
        <w:jc w:val="both"/>
        <w:rPr>
          <w:sz w:val="22"/>
          <w:sz w:val="22"/>
          <w:szCs w:val="22"/>
          <w:rFonts w:ascii="Palatino Linotype" w:hAnsi="Palatino Linotype" w:eastAsia="Palatino Linotype" w:cs="Palatino Linotype"/>
          <w:lang w:eastAsia="zh-CN"/>
        </w:rPr>
      </w:pPr>
      <w:r>
        <w:rPr>
          <w:rFonts w:eastAsia="Palatino Linotype" w:cs="Palatino Linotype" w:ascii="Palatino Linotype" w:hAnsi="Palatino Linotype"/>
          <w:sz w:val="22"/>
          <w:szCs w:val="22"/>
        </w:rPr>
      </w:r>
      <w:r/>
    </w:p>
    <w:p>
      <w:pPr>
        <w:pStyle w:val="Normal"/>
        <w:spacing w:lineRule="auto" w:line="276"/>
        <w:jc w:val="both"/>
        <w:rPr>
          <w:sz w:val="22"/>
          <w:b/>
          <w:sz w:val="22"/>
          <w:b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22"/>
          <w:szCs w:val="22"/>
        </w:rPr>
      </w:r>
      <w:r/>
    </w:p>
    <w:p>
      <w:pPr>
        <w:pStyle w:val="Normal"/>
        <w:numPr>
          <w:ilvl w:val="0"/>
          <w:numId w:val="1"/>
        </w:numPr>
        <w:tabs>
          <w:tab w:val="left" w:pos="284" w:leader="none"/>
        </w:tabs>
        <w:spacing w:lineRule="auto" w:line="276"/>
        <w:jc w:val="both"/>
        <w:rPr>
          <w:sz w:val="22"/>
          <w:b/>
          <w:sz w:val="22"/>
          <w:b/>
          <w:szCs w:val="22"/>
          <w:rFonts w:ascii="Palatino Linotype" w:hAnsi="Palatino Linotype" w:cs="Palatino Linotype"/>
        </w:rPr>
      </w:pPr>
      <w:r>
        <w:rPr>
          <w:rFonts w:cs="Palatino Linotype" w:ascii="Palatino Linotype" w:hAnsi="Palatino Linotype"/>
          <w:b/>
          <w:sz w:val="22"/>
          <w:szCs w:val="22"/>
        </w:rPr>
        <w:t>Przestrzeganie okresów trwałości – przydatności do użycia:</w:t>
      </w:r>
      <w:r/>
    </w:p>
    <w:p>
      <w:pPr>
        <w:pStyle w:val="Normal"/>
        <w:spacing w:lineRule="auto" w:line="276"/>
        <w:jc w:val="both"/>
        <w:rPr>
          <w:sz w:val="22"/>
          <w:b/>
          <w:sz w:val="22"/>
          <w:b/>
          <w:szCs w:val="22"/>
          <w:rFonts w:ascii="Palatino Linotype" w:hAnsi="Palatino Linotype" w:cs="Palatino Linotype"/>
          <w:lang w:eastAsia="zh-CN"/>
        </w:rPr>
      </w:pPr>
      <w:r>
        <w:rPr>
          <w:rFonts w:cs="Palatino Linotype" w:ascii="Palatino Linotype" w:hAnsi="Palatino Linotype"/>
          <w:b/>
          <w:sz w:val="22"/>
          <w:szCs w:val="22"/>
        </w:rPr>
      </w:r>
      <w:r/>
    </w:p>
    <w:p>
      <w:pPr>
        <w:pStyle w:val="Normal"/>
        <w:spacing w:lineRule="auto" w:line="276"/>
        <w:jc w:val="both"/>
      </w:pPr>
      <w:r>
        <w:rPr>
          <w:rFonts w:eastAsia="Palatino Linotype" w:cs="Palatino Linotype" w:ascii="Palatino Linotype" w:hAnsi="Palatino Linotype"/>
          <w:sz w:val="22"/>
          <w:szCs w:val="22"/>
        </w:rPr>
        <w:t xml:space="preserve">Pod tym względem sprawdzono ogółem 20 partii </w:t>
      </w:r>
      <w:r>
        <w:rPr>
          <w:rFonts w:cs="Palatino Linotype" w:ascii="Palatino Linotype" w:hAnsi="Palatino Linotype"/>
          <w:color w:val="000000"/>
          <w:sz w:val="22"/>
          <w:szCs w:val="22"/>
        </w:rPr>
        <w:t xml:space="preserve">produktów biobójczych </w:t>
      </w:r>
      <w:r>
        <w:rPr>
          <w:rFonts w:eastAsia="Palatino Linotype" w:cs="Palatino Linotype" w:ascii="Palatino Linotype" w:hAnsi="Palatino Linotype"/>
          <w:sz w:val="22"/>
          <w:szCs w:val="22"/>
        </w:rPr>
        <w:t xml:space="preserve">– bez uwag. </w:t>
      </w:r>
      <w:r/>
    </w:p>
    <w:sectPr>
      <w:footerReference w:type="default" r:id="rId4"/>
      <w:footerReference w:type="first" r:id="rId5"/>
      <w:type w:val="nextPage"/>
      <w:pgSz w:w="11906" w:h="16838"/>
      <w:pgMar w:left="851" w:right="567" w:header="0" w:top="951" w:footer="720" w:bottom="777" w:gutter="0"/>
      <w:pgNumType w:start="1"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Palatino Linotype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 w:val="20"/>
        <w:szCs w:val="20"/>
        <w:rFonts w:ascii="Palatino Linotype" w:hAnsi="Palatino Linotype"/>
      </w:rPr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/>
  </w:p>
  <w:p>
    <w:pPr>
      <w:pStyle w:val="Stopka"/>
    </w:pPr>
    <w:r>
      <w:rPr/>
    </w:r>
    <w:r/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sz w:val="20"/>
        <w:sz w:val="20"/>
        <w:szCs w:val="20"/>
        <w:lang w:eastAsia="zh-CN"/>
      </w:rPr>
    </w:pPr>
    <w:r>
      <w:rPr>
        <w:sz w:val="20"/>
        <w:szCs w:val="20"/>
      </w:rPr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b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hd w:fill="FFFFFF" w:val="clear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hd w:fill="FFFFFF" w:val="clear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hd w:fill="FFFFFF" w:val="clear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vertAlign w:val="baseline"/>
        <w:position w:val="0"/>
        <w:sz w:val="2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vertAlign w:val="baseline"/>
        <w:position w:val="0"/>
        <w:sz w:val="2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vertAlign w:val="baseline"/>
        <w:position w:val="0"/>
        <w:sz w:val="2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uiPriority="0" w:name="Hyperlink"/>
    <w:lsdException w:semiHidden="1" w:unhideWhenUsed="1" w:name="FollowedHyperlink"/>
    <w:lsdException w:qFormat="1" w:uiPriority="0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WW8Num1z0" w:customStyle="1">
    <w:name w:val="WW8Num1z0"/>
    <w:rPr>
      <w:rFonts w:ascii="Palatino Linotype" w:hAnsi="Palatino Linotype" w:cs="Palatino Linotype"/>
      <w:b/>
      <w:sz w:val="22"/>
      <w:szCs w:val="22"/>
    </w:rPr>
  </w:style>
  <w:style w:type="character" w:styleId="WW8Num2z0" w:customStyle="1">
    <w:name w:val="WW8Num2z0"/>
    <w:rPr>
      <w:rFonts w:ascii="Symbol" w:hAnsi="Symbol" w:eastAsia="Palatino Linotype" w:cs="OpenSymbol"/>
      <w:color w:val="000000"/>
      <w:sz w:val="22"/>
      <w:szCs w:val="22"/>
      <w:shd w:fill="FFFFFF" w:val="clear"/>
    </w:rPr>
  </w:style>
  <w:style w:type="character" w:styleId="WW8Num2z1" w:customStyle="1">
    <w:name w:val="WW8Num2z1"/>
    <w:rPr>
      <w:rFonts w:ascii="OpenSymbol" w:hAnsi="OpenSymbol" w:cs="OpenSymbol"/>
    </w:rPr>
  </w:style>
  <w:style w:type="character" w:styleId="WW8Num3z0" w:customStyle="1">
    <w:name w:val="WW8Num3z0"/>
    <w:rPr>
      <w:rFonts w:ascii="Symbol" w:hAnsi="Symbol" w:eastAsia="Palatino Linotype" w:cs="OpenSymbol"/>
      <w:color w:val="000000"/>
      <w:sz w:val="22"/>
      <w:szCs w:val="22"/>
      <w:shd w:fill="FFFFFF" w:val="clear"/>
      <w:lang w:val="pl-PL" w:eastAsia="zh-CN" w:bidi="ar-SA"/>
    </w:rPr>
  </w:style>
  <w:style w:type="character" w:styleId="WW8Num3z1" w:customStyle="1">
    <w:name w:val="WW8Num3z1"/>
    <w:rPr>
      <w:rFonts w:ascii="OpenSymbol" w:hAnsi="OpenSymbol" w:cs="OpenSymbol"/>
    </w:rPr>
  </w:style>
  <w:style w:type="character" w:styleId="WW8Num4z0" w:customStyle="1">
    <w:name w:val="WW8Num4z0"/>
    <w:rPr>
      <w:rFonts w:ascii="Symbol" w:hAnsi="Symbol" w:eastAsia="Palatino Linotype" w:cs="OpenSymbol"/>
      <w:color w:val="000000"/>
      <w:sz w:val="22"/>
      <w:szCs w:val="22"/>
      <w:shd w:fill="FFFFFF" w:val="clear"/>
      <w:lang w:val="pl-PL" w:eastAsia="zh-CN" w:bidi="ar-SA"/>
    </w:rPr>
  </w:style>
  <w:style w:type="character" w:styleId="WW8Num4z1" w:customStyle="1">
    <w:name w:val="WW8Num4z1"/>
    <w:rPr>
      <w:rFonts w:ascii="OpenSymbol" w:hAnsi="OpenSymbol" w:cs="OpenSymbol"/>
    </w:rPr>
  </w:style>
  <w:style w:type="character" w:styleId="WW8Num5z0" w:customStyle="1">
    <w:name w:val="WW8Num5z0"/>
    <w:rPr>
      <w:rFonts w:ascii="Symbol" w:hAnsi="Symbol" w:eastAsia="Palatino Linotype" w:cs="OpenSymbol"/>
      <w:color w:val="000000"/>
      <w:sz w:val="22"/>
      <w:szCs w:val="22"/>
      <w:shd w:fill="FFFFFF" w:val="clear"/>
      <w:lang w:val="pl-PL" w:eastAsia="zh-CN" w:bidi="ar-SA"/>
    </w:rPr>
  </w:style>
  <w:style w:type="character" w:styleId="WW8Num5z1" w:customStyle="1">
    <w:name w:val="WW8Num5z1"/>
    <w:rPr>
      <w:rFonts w:ascii="OpenSymbol" w:hAnsi="OpenSymbol" w:cs="OpenSymbol"/>
    </w:rPr>
  </w:style>
  <w:style w:type="character" w:styleId="WW8Num6z0" w:customStyle="1">
    <w:name w:val="WW8Num6z0"/>
    <w:rPr>
      <w:rFonts w:ascii="Symbol" w:hAnsi="Symbol" w:eastAsia="Palatino Linotype" w:cs="OpenSymbol"/>
      <w:color w:val="00000A"/>
      <w:sz w:val="22"/>
      <w:szCs w:val="22"/>
      <w:shd w:fill="FFFFFF" w:val="clear"/>
      <w:lang w:val="pl-PL" w:eastAsia="zh-CN" w:bidi="ar-SA"/>
    </w:rPr>
  </w:style>
  <w:style w:type="character" w:styleId="WW8Num6z1" w:customStyle="1">
    <w:name w:val="WW8Num6z1"/>
    <w:rPr>
      <w:rFonts w:ascii="OpenSymbol" w:hAnsi="OpenSymbol" w:cs="OpenSymbol"/>
    </w:rPr>
  </w:style>
  <w:style w:type="character" w:styleId="WW8Num7z0" w:customStyle="1">
    <w:name w:val="WW8Num7z0"/>
    <w:rPr>
      <w:rFonts w:ascii="Symbol" w:hAnsi="Symbol" w:eastAsia="Palatino Linotype" w:cs="OpenSymbol"/>
      <w:color w:val="000000"/>
      <w:position w:val="0"/>
      <w:sz w:val="22"/>
      <w:sz w:val="22"/>
      <w:szCs w:val="22"/>
      <w:shd w:fill="FFFFFF" w:val="clear"/>
      <w:vertAlign w:val="baseline"/>
      <w:lang w:val="pl-PL" w:eastAsia="zh-CN" w:bidi="ar-SA"/>
    </w:rPr>
  </w:style>
  <w:style w:type="character" w:styleId="WW8Num7z1" w:customStyle="1">
    <w:name w:val="WW8Num7z1"/>
    <w:rPr>
      <w:rFonts w:ascii="OpenSymbol" w:hAnsi="OpenSymbol" w:cs="OpenSymbol"/>
    </w:rPr>
  </w:style>
  <w:style w:type="character" w:styleId="WW8Num8z0" w:customStyle="1">
    <w:name w:val="WW8Num8z0"/>
    <w:rPr>
      <w:rFonts w:ascii="Symbol" w:hAnsi="Symbol" w:eastAsia="Palatino Linotype" w:cs="OpenSymbol"/>
      <w:color w:val="000000"/>
      <w:position w:val="0"/>
      <w:sz w:val="22"/>
      <w:sz w:val="22"/>
      <w:szCs w:val="22"/>
      <w:vertAlign w:val="baseline"/>
      <w:lang w:val="pl-PL" w:eastAsia="zh-CN" w:bidi="ar-SA"/>
    </w:rPr>
  </w:style>
  <w:style w:type="character" w:styleId="WW8Num8z1" w:customStyle="1">
    <w:name w:val="WW8Num8z1"/>
    <w:rPr>
      <w:rFonts w:ascii="OpenSymbol" w:hAnsi="OpenSymbol" w:cs="OpenSymbol"/>
    </w:rPr>
  </w:style>
  <w:style w:type="character" w:styleId="WW8Num9z0" w:customStyle="1">
    <w:name w:val="WW8Num9z0"/>
    <w:rPr/>
  </w:style>
  <w:style w:type="character" w:styleId="WW8Num9z1" w:customStyle="1">
    <w:name w:val="WW8Num9z1"/>
    <w:rPr/>
  </w:style>
  <w:style w:type="character" w:styleId="WW8Num9z2" w:customStyle="1">
    <w:name w:val="WW8Num9z2"/>
    <w:rPr/>
  </w:style>
  <w:style w:type="character" w:styleId="WW8Num9z3" w:customStyle="1">
    <w:name w:val="WW8Num9z3"/>
    <w:rPr/>
  </w:style>
  <w:style w:type="character" w:styleId="WW8Num9z4" w:customStyle="1">
    <w:name w:val="WW8Num9z4"/>
    <w:rPr/>
  </w:style>
  <w:style w:type="character" w:styleId="WW8Num9z5" w:customStyle="1">
    <w:name w:val="WW8Num9z5"/>
    <w:rPr/>
  </w:style>
  <w:style w:type="character" w:styleId="WW8Num9z6" w:customStyle="1">
    <w:name w:val="WW8Num9z6"/>
    <w:rPr/>
  </w:style>
  <w:style w:type="character" w:styleId="WW8Num9z7" w:customStyle="1">
    <w:name w:val="WW8Num9z7"/>
    <w:rPr/>
  </w:style>
  <w:style w:type="character" w:styleId="WW8Num9z8" w:customStyle="1">
    <w:name w:val="WW8Num9z8"/>
    <w:rPr/>
  </w:style>
  <w:style w:type="character" w:styleId="WW8Num7z2" w:customStyle="1">
    <w:name w:val="WW8Num7z2"/>
    <w:rPr/>
  </w:style>
  <w:style w:type="character" w:styleId="WW8Num7z3" w:customStyle="1">
    <w:name w:val="WW8Num7z3"/>
    <w:rPr/>
  </w:style>
  <w:style w:type="character" w:styleId="WW8Num7z4" w:customStyle="1">
    <w:name w:val="WW8Num7z4"/>
    <w:rPr/>
  </w:style>
  <w:style w:type="character" w:styleId="WW8Num7z5" w:customStyle="1">
    <w:name w:val="WW8Num7z5"/>
    <w:rPr/>
  </w:style>
  <w:style w:type="character" w:styleId="WW8Num7z6" w:customStyle="1">
    <w:name w:val="WW8Num7z6"/>
    <w:rPr/>
  </w:style>
  <w:style w:type="character" w:styleId="WW8Num7z7" w:customStyle="1">
    <w:name w:val="WW8Num7z7"/>
    <w:rPr/>
  </w:style>
  <w:style w:type="character" w:styleId="WW8Num7z8" w:customStyle="1">
    <w:name w:val="WW8Num7z8"/>
    <w:rPr/>
  </w:style>
  <w:style w:type="character" w:styleId="WW8Num5z2" w:customStyle="1">
    <w:name w:val="WW8Num5z2"/>
    <w:rPr/>
  </w:style>
  <w:style w:type="character" w:styleId="WW8Num5z3" w:customStyle="1">
    <w:name w:val="WW8Num5z3"/>
    <w:rPr/>
  </w:style>
  <w:style w:type="character" w:styleId="WW8Num5z4" w:customStyle="1">
    <w:name w:val="WW8Num5z4"/>
    <w:rPr/>
  </w:style>
  <w:style w:type="character" w:styleId="WW8Num5z5" w:customStyle="1">
    <w:name w:val="WW8Num5z5"/>
    <w:rPr/>
  </w:style>
  <w:style w:type="character" w:styleId="WW8Num5z6" w:customStyle="1">
    <w:name w:val="WW8Num5z6"/>
    <w:rPr/>
  </w:style>
  <w:style w:type="character" w:styleId="WW8Num5z7" w:customStyle="1">
    <w:name w:val="WW8Num5z7"/>
    <w:rPr/>
  </w:style>
  <w:style w:type="character" w:styleId="WW8Num5z8" w:customStyle="1">
    <w:name w:val="WW8Num5z8"/>
    <w:rPr/>
  </w:style>
  <w:style w:type="character" w:styleId="AbsatzStandardschriftart" w:customStyle="1">
    <w:name w:val="Absatz-Standardschriftart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AbsatzStandardschriftart1111" w:customStyle="1">
    <w:name w:val="WW-Absatz-Standardschriftart1111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AbsatzStandardschriftart111111111111111111111" w:customStyle="1">
    <w:name w:val="WW-Absatz-Standardschriftart111111111111111111111"/>
    <w:rPr/>
  </w:style>
  <w:style w:type="character" w:styleId="WWAbsatzStandardschriftart1111111111111111111111" w:customStyle="1">
    <w:name w:val="WW-Absatz-Standardschriftart1111111111111111111111"/>
    <w:rPr/>
  </w:style>
  <w:style w:type="character" w:styleId="WWAbsatzStandardschriftart11111111111111111111111" w:customStyle="1">
    <w:name w:val="WW-Absatz-Standardschriftart11111111111111111111111"/>
    <w:rPr/>
  </w:style>
  <w:style w:type="character" w:styleId="WWAbsatzStandardschriftart111111111111111111111111" w:customStyle="1">
    <w:name w:val="WW-Absatz-Standardschriftart111111111111111111111111"/>
    <w:rPr/>
  </w:style>
  <w:style w:type="character" w:styleId="WWAbsatzStandardschriftart1111111111111111111111111" w:customStyle="1">
    <w:name w:val="WW-Absatz-Standardschriftart1111111111111111111111111"/>
    <w:rPr/>
  </w:style>
  <w:style w:type="character" w:styleId="WWAbsatzStandardschriftart11111111111111111111111111" w:customStyle="1">
    <w:name w:val="WW-Absatz-Standardschriftart11111111111111111111111111"/>
    <w:rPr/>
  </w:style>
  <w:style w:type="character" w:styleId="WWAbsatzStandardschriftart111111111111111111111111111" w:customStyle="1">
    <w:name w:val="WW-Absatz-Standardschriftart111111111111111111111111111"/>
    <w:rPr/>
  </w:style>
  <w:style w:type="character" w:styleId="WWAbsatzStandardschriftart1111111111111111111111111111" w:customStyle="1">
    <w:name w:val="WW-Absatz-Standardschriftart1111111111111111111111111111"/>
    <w:rPr/>
  </w:style>
  <w:style w:type="character" w:styleId="WWAbsatzStandardschriftart11111111111111111111111111111" w:customStyle="1">
    <w:name w:val="WW-Absatz-Standardschriftart11111111111111111111111111111"/>
    <w:rPr/>
  </w:style>
  <w:style w:type="character" w:styleId="WWAbsatzStandardschriftart111111111111111111111111111111" w:customStyle="1">
    <w:name w:val="WW-Absatz-Standardschriftart111111111111111111111111111111"/>
    <w:rPr/>
  </w:style>
  <w:style w:type="character" w:styleId="WWAbsatzStandardschriftart1111111111111111111111111111111" w:customStyle="1">
    <w:name w:val="WW-Absatz-Standardschriftart1111111111111111111111111111111"/>
    <w:rPr/>
  </w:style>
  <w:style w:type="character" w:styleId="WWAbsatzStandardschriftart11111111111111111111111111111111" w:customStyle="1">
    <w:name w:val="WW-Absatz-Standardschriftart11111111111111111111111111111111"/>
    <w:rPr/>
  </w:style>
  <w:style w:type="character" w:styleId="WWAbsatzStandardschriftart111111111111111111111111111111111" w:customStyle="1">
    <w:name w:val="WW-Absatz-Standardschriftart111111111111111111111111111111111"/>
    <w:rPr/>
  </w:style>
  <w:style w:type="character" w:styleId="WWAbsatzStandardschriftart1111111111111111111111111111111111" w:customStyle="1">
    <w:name w:val="WW-Absatz-Standardschriftart1111111111111111111111111111111111"/>
    <w:rPr/>
  </w:style>
  <w:style w:type="character" w:styleId="WWAbsatzStandardschriftart11111111111111111111111111111111111" w:customStyle="1">
    <w:name w:val="WW-Absatz-Standardschriftart11111111111111111111111111111111111"/>
    <w:rPr/>
  </w:style>
  <w:style w:type="character" w:styleId="WWAbsatzStandardschriftart111111111111111111111111111111111111" w:customStyle="1">
    <w:name w:val="WW-Absatz-Standardschriftart111111111111111111111111111111111111"/>
    <w:rPr/>
  </w:style>
  <w:style w:type="character" w:styleId="WW8Num4z3" w:customStyle="1">
    <w:name w:val="WW8Num4z3"/>
    <w:rPr>
      <w:rFonts w:ascii="Symbol" w:hAnsi="Symbol" w:cs="Symbol"/>
    </w:rPr>
  </w:style>
  <w:style w:type="character" w:styleId="WW8Num6z2" w:customStyle="1">
    <w:name w:val="WW8Num6z2"/>
    <w:rPr>
      <w:rFonts w:ascii="Wingdings" w:hAnsi="Wingdings" w:cs="Wingdings"/>
    </w:rPr>
  </w:style>
  <w:style w:type="character" w:styleId="WW8Num10z0" w:customStyle="1">
    <w:name w:val="WW8Num10z0"/>
    <w:rPr>
      <w:rFonts w:ascii="Symbol" w:hAnsi="Symbol" w:cs="Symbol"/>
    </w:rPr>
  </w:style>
  <w:style w:type="character" w:styleId="WW8Num10z2" w:customStyle="1">
    <w:name w:val="WW8Num10z2"/>
    <w:rPr>
      <w:rFonts w:ascii="Wingdings" w:hAnsi="Wingdings" w:cs="Wingdings"/>
    </w:rPr>
  </w:style>
  <w:style w:type="character" w:styleId="WW8Num10z4" w:customStyle="1">
    <w:name w:val="WW8Num10z4"/>
    <w:rPr>
      <w:rFonts w:ascii="Courier New" w:hAnsi="Courier New" w:cs="Courier New"/>
    </w:rPr>
  </w:style>
  <w:style w:type="character" w:styleId="WW8Num12z4" w:customStyle="1">
    <w:name w:val="WW8Num12z4"/>
    <w:rPr>
      <w:rFonts w:ascii="Symbol" w:hAnsi="Symbol" w:cs="Symbol"/>
    </w:rPr>
  </w:style>
  <w:style w:type="character" w:styleId="WW8Num14z0" w:customStyle="1">
    <w:name w:val="WW8Num14z0"/>
    <w:rPr>
      <w:rFonts w:ascii="Times New Roman" w:hAnsi="Times New Roman" w:eastAsia="Times New Roman" w:cs="Times New Roman"/>
    </w:rPr>
  </w:style>
  <w:style w:type="character" w:styleId="WW8Num18z0" w:customStyle="1">
    <w:name w:val="WW8Num18z0"/>
    <w:rPr>
      <w:rFonts w:ascii="Wingdings" w:hAnsi="Wingdings" w:cs="Wingdings"/>
    </w:rPr>
  </w:style>
  <w:style w:type="character" w:styleId="WW8Num18z1" w:customStyle="1">
    <w:name w:val="WW8Num18z1"/>
    <w:rPr>
      <w:rFonts w:ascii="Courier New" w:hAnsi="Courier New" w:cs="Courier New"/>
    </w:rPr>
  </w:style>
  <w:style w:type="character" w:styleId="WW8Num18z3" w:customStyle="1">
    <w:name w:val="WW8Num18z3"/>
    <w:rPr>
      <w:rFonts w:ascii="Symbol" w:hAnsi="Symbol" w:cs="Symbol"/>
    </w:rPr>
  </w:style>
  <w:style w:type="character" w:styleId="WW8Num20z0" w:customStyle="1">
    <w:name w:val="WW8Num20z0"/>
    <w:rPr>
      <w:rFonts w:ascii="Symbol" w:hAnsi="Symbol" w:cs="Symbol"/>
    </w:rPr>
  </w:style>
  <w:style w:type="character" w:styleId="WW8Num20z1" w:customStyle="1">
    <w:name w:val="WW8Num20z1"/>
    <w:rPr>
      <w:rFonts w:ascii="Courier New" w:hAnsi="Courier New" w:cs="Courier New"/>
    </w:rPr>
  </w:style>
  <w:style w:type="character" w:styleId="WW8Num20z2" w:customStyle="1">
    <w:name w:val="WW8Num20z2"/>
    <w:rPr>
      <w:rFonts w:ascii="Wingdings" w:hAnsi="Wingdings" w:cs="Wingdings"/>
    </w:rPr>
  </w:style>
  <w:style w:type="character" w:styleId="WW8Num21z0" w:customStyle="1">
    <w:name w:val="WW8Num21z0"/>
    <w:rPr>
      <w:rFonts w:ascii="Wingdings" w:hAnsi="Wingdings" w:cs="Wingdings"/>
      <w:color w:val="00000A"/>
    </w:rPr>
  </w:style>
  <w:style w:type="character" w:styleId="WW8Num21z1" w:customStyle="1">
    <w:name w:val="WW8Num21z1"/>
    <w:rPr>
      <w:rFonts w:ascii="Courier New" w:hAnsi="Courier New" w:cs="Courier New"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1z3" w:customStyle="1">
    <w:name w:val="WW8Num21z3"/>
    <w:rPr>
      <w:rFonts w:ascii="Symbol" w:hAnsi="Symbol" w:cs="Symbol"/>
    </w:rPr>
  </w:style>
  <w:style w:type="character" w:styleId="WW8Num24z0" w:customStyle="1">
    <w:name w:val="WW8Num24z0"/>
    <w:rPr>
      <w:rFonts w:ascii="Symbol" w:hAnsi="Symbol" w:cs="Symbol"/>
    </w:rPr>
  </w:style>
  <w:style w:type="character" w:styleId="WW8Num24z1" w:customStyle="1">
    <w:name w:val="WW8Num24z1"/>
    <w:rPr>
      <w:rFonts w:ascii="Courier New" w:hAnsi="Courier New" w:cs="Courier New"/>
    </w:rPr>
  </w:style>
  <w:style w:type="character" w:styleId="WW8Num24z2" w:customStyle="1">
    <w:name w:val="WW8Num24z2"/>
    <w:rPr>
      <w:rFonts w:ascii="Wingdings" w:hAnsi="Wingdings" w:cs="Wingdings"/>
    </w:rPr>
  </w:style>
  <w:style w:type="character" w:styleId="WW8Num25z0" w:customStyle="1">
    <w:name w:val="WW8Num25z0"/>
    <w:rPr>
      <w:rFonts w:ascii="Wingdings" w:hAnsi="Wingdings" w:cs="Wingdings"/>
    </w:rPr>
  </w:style>
  <w:style w:type="character" w:styleId="WW8Num25z1" w:customStyle="1">
    <w:name w:val="WW8Num25z1"/>
    <w:rPr>
      <w:rFonts w:ascii="Courier New" w:hAnsi="Courier New" w:cs="Courier New"/>
    </w:rPr>
  </w:style>
  <w:style w:type="character" w:styleId="WW8Num25z3" w:customStyle="1">
    <w:name w:val="WW8Num25z3"/>
    <w:rPr>
      <w:rFonts w:ascii="Symbol" w:hAnsi="Symbol" w:cs="Symbol"/>
    </w:rPr>
  </w:style>
  <w:style w:type="character" w:styleId="WW8Num26z0" w:customStyle="1">
    <w:name w:val="WW8Num26z0"/>
    <w:rPr>
      <w:rFonts w:ascii="Wingdings" w:hAnsi="Wingdings" w:cs="Wingdings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3" w:customStyle="1">
    <w:name w:val="WW8Num26z3"/>
    <w:rPr>
      <w:rFonts w:ascii="Symbol" w:hAnsi="Symbol" w:cs="Symbol"/>
    </w:rPr>
  </w:style>
  <w:style w:type="character" w:styleId="Domylnaczcionkaakapitu1" w:customStyle="1">
    <w:name w:val="Domyślna czcionka akapitu1"/>
    <w:rPr/>
  </w:style>
  <w:style w:type="character" w:styleId="Pagenumber">
    <w:name w:val="page number"/>
    <w:basedOn w:val="Domylnaczcionkaakapitu1"/>
    <w:rPr/>
  </w:style>
  <w:style w:type="character" w:styleId="NagwekstronyZnakZnak" w:customStyle="1">
    <w:name w:val="Nagłówek strony Znak Znak"/>
    <w:rPr>
      <w:lang w:val="pl-PL" w:bidi="ar-SA"/>
    </w:rPr>
  </w:style>
  <w:style w:type="character" w:styleId="Czeinternetowe">
    <w:name w:val="Łącze internetowe"/>
    <w:rPr>
      <w:color w:val="0000FF"/>
      <w:u w:val="single"/>
      <w:lang w:val="zxx" w:eastAsia="zxx" w:bidi="zxx"/>
    </w:rPr>
  </w:style>
  <w:style w:type="character" w:styleId="Strong">
    <w:name w:val="Strong"/>
    <w:qFormat/>
    <w:rPr>
      <w:b/>
      <w:bCs/>
    </w:rPr>
  </w:style>
  <w:style w:type="character" w:styleId="Symbolewypunktowania" w:customStyle="1">
    <w:name w:val="Symbole wypunktowania"/>
    <w:rPr>
      <w:rFonts w:ascii="OpenSymbol" w:hAnsi="OpenSymbol" w:eastAsia="OpenSymbol" w:cs="OpenSymbol"/>
    </w:rPr>
  </w:style>
  <w:style w:type="character" w:styleId="Znakinumeracji" w:customStyle="1">
    <w:name w:val="Znaki numeracji"/>
    <w:rPr/>
  </w:style>
  <w:style w:type="character" w:styleId="FollowedHyperlink">
    <w:name w:val="FollowedHyperlink"/>
    <w:rPr>
      <w:color w:val="800000"/>
      <w:u w:val="single"/>
    </w:rPr>
  </w:style>
  <w:style w:type="character" w:styleId="Znakiwypunktowania" w:customStyle="1">
    <w:name w:val="Znaki wypunktowania"/>
    <w:rPr>
      <w:rFonts w:ascii="OpenSymbol" w:hAnsi="OpenSymbol" w:eastAsia="OpenSymbol" w:cs="OpenSymbol"/>
    </w:rPr>
  </w:style>
  <w:style w:type="character" w:styleId="TekstdymkaZnak" w:customStyle="1">
    <w:name w:val="Tekst dymka Znak"/>
    <w:link w:val="Tekstdymka"/>
    <w:uiPriority w:val="99"/>
    <w:semiHidden/>
    <w:rsid w:val="00f14630"/>
    <w:rPr>
      <w:rFonts w:ascii="Segoe UI" w:hAnsi="Segoe UI" w:cs="Segoe UI"/>
      <w:sz w:val="18"/>
      <w:szCs w:val="18"/>
      <w:lang w:eastAsia="zh-CN"/>
    </w:rPr>
  </w:style>
  <w:style w:type="character" w:styleId="Color11" w:customStyle="1">
    <w:name w:val="color_11"/>
    <w:rsid w:val="000d0e9f"/>
    <w:rPr/>
  </w:style>
  <w:style w:type="character" w:styleId="StopkaZnak" w:customStyle="1">
    <w:name w:val="Stopka Znak"/>
    <w:link w:val="Stopka"/>
    <w:uiPriority w:val="99"/>
    <w:rsid w:val="00a73b59"/>
    <w:rPr>
      <w:sz w:val="24"/>
      <w:szCs w:val="24"/>
      <w:lang w:eastAsia="zh-CN"/>
    </w:rPr>
  </w:style>
  <w:style w:type="character" w:styleId="ListLabel1">
    <w:name w:val="ListLabel 1"/>
    <w:rPr>
      <w:rFonts w:cs="Palatino Linotype"/>
      <w:b/>
      <w:sz w:val="22"/>
      <w:szCs w:val="22"/>
    </w:rPr>
  </w:style>
  <w:style w:type="character" w:styleId="ListLabel2">
    <w:name w:val="ListLabel 2"/>
    <w:rPr>
      <w:rFonts w:cs="OpenSymbol"/>
      <w:color w:val="000000"/>
      <w:sz w:val="22"/>
      <w:szCs w:val="22"/>
      <w:shd w:fill="FFFFFF" w:val="clear"/>
    </w:rPr>
  </w:style>
  <w:style w:type="character" w:styleId="ListLabel3">
    <w:name w:val="ListLabel 3"/>
    <w:rPr>
      <w:rFonts w:cs="OpenSymbol"/>
    </w:rPr>
  </w:style>
  <w:style w:type="character" w:styleId="ListLabel4">
    <w:name w:val="ListLabel 4"/>
    <w:rPr>
      <w:rFonts w:cs="OpenSymbol"/>
      <w:color w:val="000000"/>
      <w:sz w:val="22"/>
      <w:szCs w:val="22"/>
      <w:shd w:fill="FFFFFF" w:val="clear"/>
      <w:lang w:val="pl-PL" w:eastAsia="zh-CN" w:bidi="ar-SA"/>
    </w:rPr>
  </w:style>
  <w:style w:type="character" w:styleId="ListLabel5">
    <w:name w:val="ListLabel 5"/>
    <w:rPr>
      <w:rFonts w:cs="OpenSymbol"/>
      <w:sz w:val="22"/>
      <w:szCs w:val="22"/>
      <w:shd w:fill="FFFFFF" w:val="clear"/>
      <w:lang w:val="pl-PL" w:eastAsia="zh-CN" w:bidi="ar-SA"/>
    </w:rPr>
  </w:style>
  <w:style w:type="character" w:styleId="ListLabel6">
    <w:name w:val="ListLabel 6"/>
    <w:rPr>
      <w:rFonts w:cs="OpenSymbol"/>
      <w:color w:val="000000"/>
      <w:position w:val="0"/>
      <w:sz w:val="22"/>
      <w:sz w:val="22"/>
      <w:szCs w:val="22"/>
      <w:shd w:fill="FFFFFF" w:val="clear"/>
      <w:vertAlign w:val="baseline"/>
      <w:lang w:val="pl-PL" w:eastAsia="zh-CN" w:bidi="ar-SA"/>
    </w:rPr>
  </w:style>
  <w:style w:type="character" w:styleId="ListLabel7">
    <w:name w:val="ListLabel 7"/>
    <w:rPr>
      <w:rFonts w:cs="OpenSymbol"/>
      <w:color w:val="000000"/>
      <w:position w:val="0"/>
      <w:sz w:val="22"/>
      <w:sz w:val="22"/>
      <w:szCs w:val="22"/>
      <w:vertAlign w:val="baseline"/>
      <w:lang w:val="pl-PL" w:eastAsia="zh-CN" w:bidi="ar-SA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pPr>
      <w:suppressLineNumbers/>
    </w:pPr>
    <w:rPr>
      <w:rFonts w:cs="Mangal"/>
    </w:rPr>
  </w:style>
  <w:style w:type="paragraph" w:styleId="Nagwek1" w:customStyle="1">
    <w:name w:val="Nagłówek1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Stopka">
    <w:name w:val="Stopka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uppressAutoHyphens w:val="false"/>
    </w:pPr>
    <w:rPr>
      <w:sz w:val="20"/>
      <w:szCs w:val="20"/>
    </w:rPr>
  </w:style>
  <w:style w:type="paragraph" w:styleId="Wcicietrecitekstu">
    <w:name w:val="Wcięcie treści tekstu"/>
    <w:basedOn w:val="Normal"/>
    <w:pPr>
      <w:ind w:firstLine="756"/>
    </w:pPr>
    <w:rPr/>
  </w:style>
  <w:style w:type="paragraph" w:styleId="Zawartotabeli" w:customStyle="1">
    <w:name w:val="Zawartość tabeli"/>
    <w:basedOn w:val="Normal"/>
    <w:pPr>
      <w:suppressLineNumbers/>
    </w:pPr>
    <w:rPr/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Zawartoramki" w:customStyle="1">
    <w:name w:val="Zawartość ramki"/>
    <w:basedOn w:val="Tretekstu"/>
    <w:pPr/>
    <w:rPr/>
  </w:style>
  <w:style w:type="paragraph" w:styleId="ListParagraph">
    <w:name w:val="List Paragraph"/>
    <w:basedOn w:val="Normal"/>
    <w:uiPriority w:val="34"/>
    <w:qFormat/>
    <w:rsid w:val="009440c1"/>
    <w:pPr>
      <w:suppressAutoHyphens w:val="false"/>
      <w:spacing w:lineRule="auto" w:line="256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f14630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rsid w:val="00a73b59"/>
    <w:pPr>
      <w:suppressAutoHyphens w:val="false"/>
      <w:spacing w:before="280" w:after="0"/>
      <w:jc w:val="both"/>
    </w:pPr>
    <w:rPr>
      <w:color w:val="000000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wiih.kielce@pro.onet.pl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LibreOffice/4.3.5.2$Windows_x86 LibreOffice_project/3a87456aaa6a95c63eea1c1b3201acedf0751bd5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2018-10-02T08:52:00Z</dcterms:created>
  <dc:creator>WIIH</dc:creator>
  <dc:language>pl-PL</dc:language>
  <cp:lastPrinted>2017-10-13T07:52:00Z</cp:lastPrinted>
  <dcterms:modified xsi:type="dcterms:W3CDTF">2019-02-18T14:48:40Z</dcterms:modified>
  <cp:revision>6</cp:revision>
  <dc:title>PU – 331 – 6/2009</dc:title>
</cp:coreProperties>
</file>