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</w:rPr>
              <w:t>Kielce, 07.01.2019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eastAsia="Times New Roman"/>
        </w:rPr>
      </w:pPr>
      <w:r>
        <w:rPr>
          <w:rFonts w:eastAsia="Times New Roman" w:ascii="Palatino Linotype" w:hAnsi="Palatino Linotype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własnych przeprowadzonych w IV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W IV kwartale 2018 r. w ramach realizacji kontroli własnych przeprowadzono                               6</w:t>
      </w:r>
      <w:r>
        <w:rPr>
          <w:rFonts w:cs="Palatino Linotype"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>kontroli placówek w zakresie:</w:t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uwidaczniania cen/cenników;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prawidłowości etykietowania opon pod kątem efektywności paliwowej i innych zasadniczych parametrów.</w:t>
      </w:r>
    </w:p>
    <w:p>
      <w:pPr>
        <w:pStyle w:val="Normal"/>
        <w:spacing w:lineRule="auto" w:line="276"/>
        <w:ind w:left="72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  <w:t>W zakresie  legalności prowadzonej działalności gospodarczej oraz prawidłowości uwidaczniania cen/cenników we wszystkich kontrolowanych placówkach nie stwierdzono nieprawidłowości.</w:t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</w:r>
    </w:p>
    <w:p>
      <w:pPr>
        <w:pStyle w:val="Normal"/>
        <w:spacing w:lineRule="auto" w:line="276"/>
        <w:jc w:val="both"/>
        <w:rPr/>
      </w:pPr>
      <w:r>
        <w:rPr>
          <w:rFonts w:cs="Palatino Linotype" w:ascii="Palatino Linotype" w:hAnsi="Palatino Linotype"/>
        </w:rPr>
        <w:tab/>
        <w:t xml:space="preserve">Natomiast w zakresie prawidłowości etykietowania opon pod kątem efektywności paliwowej i innych zasadniczych parametrów stwierdzono w </w:t>
      </w:r>
      <w:r>
        <w:rPr>
          <w:rFonts w:cs="Palatino Linotype" w:ascii="Palatino Linotype" w:hAnsi="Palatino Linotype"/>
        </w:rPr>
        <w:t xml:space="preserve">jednej ze skontrolowanych firm  - </w:t>
      </w:r>
      <w:r>
        <w:rPr>
          <w:rFonts w:cs="Palatino Linotype" w:ascii="Palatino Linotype" w:hAnsi="Palatino Linotype"/>
        </w:rPr>
        <w:t xml:space="preserve"> polegająca na niezamieszczaniu wymaganych informacji na fakturach/paragonach określonych w art. 5 ust. 3 rozporządzenia Parlamentu Europejskiego i Rady (WE) Nr 1222/2009 z dnia 25 listopada 2009 r. w sprawie etykietowania opon pod kątem efektywności paliwowej i innych zasadniczych parametrów. </w:t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>W związku z powyższym na podstawie art. 16 ust. 1 pkt. 5 ustawy o Inspekcji Handlowej postawiono kontrolowanemu żądanie usunięcia stwierdzonych nieprawidłowości poprzez zamieszczanie na wystawianych fakturach/rachunkach informacji o których mowa w art. 5 ust. 3 rozporządzenia 1222/2009, do czego kontrolowany zobowiązał się niezwłocznie dostosować.</w:t>
      </w:r>
    </w:p>
    <w:p>
      <w:pPr>
        <w:pStyle w:val="Normal"/>
        <w:widowControl/>
        <w:spacing w:lineRule="auto" w:line="276"/>
        <w:jc w:val="both"/>
        <w:textAlignment w:val="baseline"/>
        <w:rPr/>
      </w:pPr>
      <w:r>
        <w:rPr>
          <w:rFonts w:eastAsia="Palatino Linotype" w:cs="Palatino Linotype" w:ascii="Palatino Linotype" w:hAnsi="Palatino Linotype"/>
        </w:rPr>
        <w:t xml:space="preserve"> </w:t>
      </w:r>
    </w:p>
    <w:sectPr>
      <w:footerReference w:type="default" r:id="rId2"/>
      <w:type w:val="nextPage"/>
      <w:pgSz w:w="11906" w:h="16838"/>
      <w:pgMar w:left="1080" w:right="1080" w:header="0" w:top="1440" w:footer="70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320037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numPr>
        <w:ilvl w:val="0"/>
        <w:numId w:val="1"/>
      </w:numPr>
      <w:outlineLvl w:val="0"/>
      <w:outlineLvl w:val="0"/>
    </w:pPr>
    <w:rPr>
      <w:rFonts w:eastAsia="Times New Roman"/>
      <w:b/>
      <w:bCs/>
      <w:sz w:val="36"/>
      <w:szCs w:val="36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200" w:after="0"/>
      <w:outlineLvl w:val="1"/>
      <w:outlineLvl w:val="1"/>
    </w:pPr>
    <w:rPr>
      <w:rFonts w:eastAsia="Times New Roman"/>
      <w:b/>
      <w:bCs/>
      <w:sz w:val="32"/>
      <w:szCs w:val="32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140" w:after="0"/>
      <w:outlineLvl w:val="2"/>
      <w:outlineLvl w:val="2"/>
    </w:pPr>
    <w:rPr>
      <w:rFonts w:eastAsia="Times New Roman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 w:customStyle="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  <w:sz w:val="20"/>
      <w:szCs w:val="20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  <w:sz w:val="20"/>
      <w:szCs w:val="20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ascii="Palatino Linotype" w:hAnsi="Palatino Linotype" w:cs="OpenSymbol"/>
      <w:sz w:val="20"/>
      <w:szCs w:val="20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  <w:sz w:val="20"/>
      <w:szCs w:val="20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  <w:sz w:val="20"/>
      <w:szCs w:val="20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ascii="Palatino Linotype" w:hAnsi="Palatino Linotype" w:cs="OpenSymbol"/>
      <w:sz w:val="20"/>
      <w:szCs w:val="20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  <w:sz w:val="20"/>
      <w:szCs w:val="20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  <w:sz w:val="20"/>
      <w:szCs w:val="20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Palatino Linotype" w:hAnsi="Palatino Linotype" w:cs="OpenSymbol"/>
      <w:sz w:val="20"/>
      <w:szCs w:val="20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  <w:sz w:val="20"/>
      <w:szCs w:val="20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  <w:sz w:val="20"/>
      <w:szCs w:val="20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>
    <w:name w:val="ListLabel 118"/>
    <w:qFormat/>
    <w:rPr>
      <w:rFonts w:ascii="Palatino Linotype" w:hAnsi="Palatino Linotype" w:cs="OpenSymbol"/>
      <w:sz w:val="20"/>
      <w:szCs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  <w:sz w:val="20"/>
      <w:szCs w:val="20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0"/>
      <w:szCs w:val="20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LibreOffice/5.3.2.2$Windows_x86 LibreOffice_project/6cd4f1ef626f15116896b1d8e1398b56da0d0ee1</Application>
  <Pages>1</Pages>
  <Words>183</Words>
  <Characters>1221</Characters>
  <CharactersWithSpaces>1430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2019-01-07T10:52:00Z</dcterms:created>
  <dc:creator>WIIH</dc:creator>
  <dc:description/>
  <dc:language>pl-PL</dc:language>
  <cp:lastModifiedBy/>
  <cp:lastPrinted>2019-01-07T10:27:00Z</cp:lastPrinted>
  <dcterms:modified xsi:type="dcterms:W3CDTF">2020-02-24T10:03:23Z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