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 w:eastAsia="Times New Roman"/>
              </w:rPr>
            </w:pPr>
            <w:r>
              <w:rPr>
                <w:rFonts w:cs="Palatino Linotype" w:ascii="Palatino Linotype" w:hAnsi="Palatino Linotype"/>
              </w:rPr>
              <w:t xml:space="preserve">  </w:t>
            </w:r>
            <w:r>
              <w:rPr>
                <w:rFonts w:cs="Palatino Linotype" w:ascii="Palatino Linotype" w:hAnsi="Palatino Linotype"/>
              </w:rPr>
              <w:t>Kielce,  8</w:t>
            </w:r>
            <w:bookmarkStart w:id="0" w:name="_GoBack"/>
            <w:bookmarkEnd w:id="0"/>
            <w:r>
              <w:rPr>
                <w:rFonts w:cs="Palatino Linotype" w:ascii="Palatino Linotype" w:hAnsi="Palatino Linotype"/>
              </w:rPr>
              <w:t>.01.2019 r.</w:t>
            </w:r>
          </w:p>
        </w:tc>
      </w:tr>
    </w:tbl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prawidłowości dostarczania informacji dla konsumentów w zakresie oznakowania produktów przeprowadzonych w IV kwartale 2018 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W IV kwartale 2018 r. w ramach realizacji kontroli własnych Wydział Kontroli Artykułów Przemysłowych i Usług WIIH Kielce przeprowadził </w:t>
      </w:r>
      <w:r>
        <w:rPr>
          <w:rFonts w:cs="Palatino Linotype" w:ascii="Palatino Linotype" w:hAnsi="Palatino Linotype"/>
          <w:b/>
        </w:rPr>
        <w:t>30 kontroli</w:t>
      </w:r>
      <w:r>
        <w:rPr>
          <w:rFonts w:cs="Palatino Linotype" w:ascii="Palatino Linotype" w:hAnsi="Palatino Linotype"/>
        </w:rPr>
        <w:t xml:space="preserve"> placówek detalicznych w zakresie: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prawidłowości oznakowania wyrobów;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legalności  prowadzonej działalności gospodarczej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);</w:t>
      </w:r>
    </w:p>
    <w:p>
      <w:pPr>
        <w:pStyle w:val="Normal"/>
        <w:widowControl/>
        <w:numPr>
          <w:ilvl w:val="0"/>
          <w:numId w:val="2"/>
        </w:numPr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przestrzegania przepisów dotyczących uwidaczniania cen/cennika (</w:t>
      </w:r>
      <w:r>
        <w:rPr>
          <w:rFonts w:cs="Palatino Linotype" w:ascii="Palatino Linotype" w:hAnsi="Palatino Linotype"/>
          <w:i/>
        </w:rPr>
        <w:t>kontrole z zawiadomieniem</w:t>
      </w:r>
      <w:r>
        <w:rPr>
          <w:rFonts w:cs="Palatino Linotype" w:ascii="Palatino Linotype" w:hAnsi="Palatino Linotype"/>
        </w:rPr>
        <w:t>),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 xml:space="preserve">z czego w </w:t>
      </w:r>
      <w:r>
        <w:rPr>
          <w:rFonts w:cs="Palatino Linotype" w:ascii="Palatino Linotype" w:hAnsi="Palatino Linotype"/>
          <w:b/>
        </w:rPr>
        <w:t>17 placówkach</w:t>
      </w:r>
      <w:r>
        <w:rPr>
          <w:rFonts w:cs="Palatino Linotype" w:ascii="Palatino Linotype" w:hAnsi="Palatino Linotype"/>
        </w:rPr>
        <w:t xml:space="preserve"> stwierdzono nieprawidłowości.</w:t>
      </w:r>
    </w:p>
    <w:p>
      <w:pPr>
        <w:pStyle w:val="Normal"/>
        <w:widowControl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Fonts w:cs="Palatino Linotype" w:ascii="Palatino Linotype" w:hAnsi="Palatino Linotype"/>
        </w:rPr>
        <w:t>W wyniku kontroli ustalono, że 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Style w:val="Domylnaczcionkaakapitu2"/>
          <w:rFonts w:cs="Palatino Linotype" w:ascii="Palatino Linotype" w:hAnsi="Palatino Linotype"/>
        </w:rPr>
        <w:t xml:space="preserve">w </w:t>
      </w:r>
      <w:r>
        <w:rPr>
          <w:rStyle w:val="Domylnaczcionkaakapitu2"/>
          <w:rFonts w:cs="Palatino Linotype" w:ascii="Palatino Linotype" w:hAnsi="Palatino Linotype"/>
          <w:b/>
        </w:rPr>
        <w:t>15 placówkach</w:t>
      </w:r>
      <w:r>
        <w:rPr>
          <w:rStyle w:val="Domylnaczcionkaakapitu2"/>
          <w:rFonts w:cs="Palatino Linotype" w:ascii="Palatino Linotype" w:hAnsi="Palatino Linotype"/>
        </w:rPr>
        <w:t xml:space="preserve"> u</w:t>
      </w:r>
      <w:r>
        <w:rPr>
          <w:rFonts w:eastAsia="Palatino Linotype" w:cs="Palatino Linotype" w:ascii="Palatino Linotype" w:hAnsi="Palatino Linotype"/>
        </w:rPr>
        <w:t xml:space="preserve">jawniono nieprawidłowości w oznakowaniu wyrobów włókienniczych – niewłaściwy sposób/brak podania w oznakowaniu i/lub na etykietach opisu składu surowcowego, co jest niezgodne z art. 5 ust. 1 rozporządzenia Parlamentu Europejskiego i Rady UE Nr 1007/2011 </w:t>
      </w:r>
      <w:r>
        <w:rPr>
          <w:rFonts w:eastAsia="Palatino Linotype" w:cs="Palatino Linotype" w:ascii="Palatino Linotype" w:hAnsi="Palatino Linotype"/>
          <w:i/>
        </w:rPr>
        <w:t>w sprawie nazewnictwa włókien tekstylnych oraz etykietowania i oznakowywania składu surowcowego wyrobów włókienniczych, a także uchylenia dyrektywy Rady 73/44/EWG oraz dyrektyw Parlamentu Europejskiego i Rady 96/73/WE i 2008/121/WE</w:t>
      </w:r>
      <w:r>
        <w:rPr>
          <w:rFonts w:eastAsia="Palatino Linotype" w:cs="Palatino Linotype" w:ascii="Palatino Linotype" w:hAnsi="Palatino Linotype"/>
        </w:rPr>
        <w:t>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shd w:fill="FFFFFF" w:val="clear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4 placówkach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zakwestionowano </w:t>
      </w:r>
      <w:r>
        <w:rPr>
          <w:rFonts w:cs="Palatino Linotype" w:ascii="Palatino Linotype" w:hAnsi="Palatino Linotype"/>
        </w:rPr>
        <w:t>brak stosownych oznaczeń producentem/ importerem wyrobów</w:t>
      </w:r>
      <w:r>
        <w:rPr>
          <w:rFonts w:cs="Palatino Linotype" w:ascii="Palatino Linotype" w:hAnsi="Palatino Linotype"/>
          <w:shd w:fill="FFFFFF" w:val="clear"/>
        </w:rPr>
        <w:t xml:space="preserve">, </w:t>
      </w:r>
      <w:r>
        <w:rPr>
          <w:rFonts w:ascii="Palatino Linotype" w:hAnsi="Palatino Linotype"/>
        </w:rPr>
        <w:t xml:space="preserve">co jest niezgodne z art. 21 ustawy </w:t>
      </w:r>
      <w:r>
        <w:rPr>
          <w:rFonts w:ascii="Palatino Linotype" w:hAnsi="Palatino Linotype"/>
          <w:i/>
        </w:rPr>
        <w:t>Prawo przedsiębiorców;</w:t>
      </w:r>
    </w:p>
    <w:p>
      <w:pPr>
        <w:pStyle w:val="Normal"/>
        <w:widowControl/>
        <w:numPr>
          <w:ilvl w:val="0"/>
          <w:numId w:val="3"/>
        </w:numPr>
        <w:tabs>
          <w:tab w:val="left" w:pos="0" w:leader="none"/>
          <w:tab w:val="left" w:pos="360" w:leader="none"/>
        </w:tabs>
        <w:snapToGrid w:val="false"/>
        <w:spacing w:lineRule="auto" w:line="276"/>
        <w:jc w:val="both"/>
        <w:rPr>
          <w:rFonts w:ascii="Palatino Linotype" w:hAnsi="Palatino Linotype" w:cs="Palatino Linotype"/>
          <w:highlight w:val="white"/>
        </w:rPr>
      </w:pPr>
      <w:r>
        <w:rPr>
          <w:rStyle w:val="Domylnaczcionkaakapitu2"/>
          <w:rFonts w:eastAsia="Palatino Linotype" w:cs="Palatino Linotype" w:ascii="Palatino Linotype" w:hAnsi="Palatino Linotype"/>
        </w:rPr>
        <w:t xml:space="preserve">w </w:t>
      </w:r>
      <w:r>
        <w:rPr>
          <w:rStyle w:val="Domylnaczcionkaakapitu2"/>
          <w:rFonts w:eastAsia="Palatino Linotype" w:cs="Palatino Linotype" w:ascii="Palatino Linotype" w:hAnsi="Palatino Linotype"/>
          <w:b/>
        </w:rPr>
        <w:t>1 placówce</w:t>
      </w:r>
      <w:r>
        <w:rPr>
          <w:rStyle w:val="Domylnaczcionkaakapitu2"/>
          <w:rFonts w:eastAsia="Palatino Linotype" w:cs="Palatino Linotype" w:ascii="Palatino Linotype" w:hAnsi="Palatino Linotype"/>
        </w:rPr>
        <w:t xml:space="preserve"> nie</w:t>
      </w:r>
      <w:r>
        <w:rPr>
          <w:rFonts w:cs="Palatino Linotype" w:ascii="Palatino Linotype" w:hAnsi="Palatino Linotype"/>
        </w:rPr>
        <w:t xml:space="preserve"> uwidoczniono cen jednostkowych dla wyrobów, co stanowi naruszenie art. 4 ust. 1 ustawy </w:t>
      </w:r>
      <w:r>
        <w:rPr>
          <w:rFonts w:cs="Palatino Linotype" w:ascii="Palatino Linotype" w:hAnsi="Palatino Linotype"/>
          <w:i/>
          <w:iCs/>
        </w:rPr>
        <w:t xml:space="preserve">o informowaniu o cenach towarów i usług </w:t>
      </w:r>
      <w:r>
        <w:rPr>
          <w:rFonts w:cs="Palatino Linotype" w:ascii="Palatino Linotype" w:hAnsi="Palatino Linotype"/>
        </w:rPr>
        <w:t>oraz § 3.2 i § 4.1</w:t>
        <w:br/>
        <w:t xml:space="preserve">rozporządzenia Ministra Rozwoju </w:t>
      </w:r>
      <w:r>
        <w:rPr>
          <w:rFonts w:cs="Palatino Linotype" w:ascii="Palatino Linotype" w:hAnsi="Palatino Linotype"/>
          <w:i/>
          <w:iCs/>
        </w:rPr>
        <w:t>w sprawie uwidaczniania cen towarów i usług</w:t>
      </w:r>
      <w:r>
        <w:rPr>
          <w:rFonts w:cs="Palatino Linotype" w:ascii="Palatino Linotype" w:hAnsi="Palatino Linotype"/>
          <w:shd w:fill="FFFFFF" w:val="clear"/>
        </w:rPr>
        <w:t>.</w:t>
      </w:r>
    </w:p>
    <w:p>
      <w:pPr>
        <w:pStyle w:val="Normal"/>
        <w:widowControl/>
        <w:tabs>
          <w:tab w:val="left" w:pos="0" w:leader="none"/>
          <w:tab w:val="left" w:pos="360" w:leader="none"/>
        </w:tabs>
        <w:snapToGrid w:val="false"/>
        <w:spacing w:lineRule="auto" w:line="276"/>
        <w:ind w:left="720" w:hanging="0"/>
        <w:jc w:val="both"/>
        <w:rPr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Normal"/>
        <w:spacing w:lineRule="auto" w:line="276"/>
        <w:jc w:val="both"/>
        <w:rPr>
          <w:rStyle w:val="Domylnaczcionkaakapitu2"/>
          <w:rFonts w:ascii="Palatino Linotype" w:hAnsi="Palatino Linotype" w:eastAsia="Times New Roman" w:cs="Palatino Linotype"/>
          <w:lang w:eastAsia="ar-SA"/>
        </w:rPr>
      </w:pPr>
      <w:r>
        <w:rPr>
          <w:rStyle w:val="Domylnaczcionkaakapitu2"/>
          <w:rFonts w:eastAsia="Times New Roman" w:cs="Palatino Linotype" w:ascii="Palatino Linotype" w:hAnsi="Palatino Linotype"/>
          <w:lang w:eastAsia="ar-SA"/>
        </w:rPr>
        <w:t>Ustalenia z przeprowadzonych kontroli dały podstawę do: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>
        <w:rPr>
          <w:rFonts w:cs="Palatino Linotype" w:ascii="Palatino Linotype" w:hAnsi="Palatino Linotype"/>
          <w:b/>
        </w:rPr>
        <w:t>ostawienia łącznie 17 żądań organizacyjno – porządkowych</w:t>
      </w:r>
      <w:r>
        <w:rPr>
          <w:rFonts w:ascii="Palatino Linotype" w:hAnsi="Palatino Linotype"/>
        </w:rPr>
        <w:t xml:space="preserve"> dot.</w:t>
      </w:r>
      <w:r>
        <w:rPr>
          <w:rFonts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 xml:space="preserve">usunięcia stwierdzonych nieprawidłowości bez zbędnej zwłoki na podstawie art. 16 ust. 1 pkt. 5 </w:t>
      </w:r>
      <w:r>
        <w:rPr>
          <w:rFonts w:cs="Palatino Linotype" w:ascii="Palatino Linotype" w:hAnsi="Palatino Linotype"/>
          <w:i/>
          <w:iCs/>
        </w:rPr>
        <w:t>ustawy o Inspekcji Handlowej</w:t>
      </w:r>
      <w:r>
        <w:rPr>
          <w:rFonts w:cs="Palatino Linotype" w:ascii="Palatino Linotype" w:hAnsi="Palatino Linotype"/>
        </w:rPr>
        <w:t>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wszczęcia 1 postępowania administracyjnego</w:t>
      </w:r>
      <w:r>
        <w:rPr>
          <w:rFonts w:ascii="Palatino Linotype" w:hAnsi="Palatino Linotype"/>
        </w:rPr>
        <w:t xml:space="preserve"> w sprawie wymierzenia przedsiębiorcy administracyjnej kary pieniężnej na zasadach przyjętych w art. 6 ust. 1 i 3 ustawy </w:t>
      </w:r>
      <w:r>
        <w:rPr>
          <w:rFonts w:ascii="Palatino Linotype" w:hAnsi="Palatino Linotype"/>
          <w:i/>
        </w:rPr>
        <w:t>o informowaniu o cenach towarów i  usług</w:t>
      </w:r>
      <w:r>
        <w:rPr>
          <w:rFonts w:ascii="Palatino Linotype" w:hAnsi="Palatino Linotype"/>
        </w:rPr>
        <w:t>, w związku z naruszeniem art. 4 ww. ustawy;</w:t>
      </w:r>
    </w:p>
    <w:p>
      <w:pPr>
        <w:pStyle w:val="ListParagraph"/>
        <w:widowControl/>
        <w:numPr>
          <w:ilvl w:val="0"/>
          <w:numId w:val="4"/>
        </w:numPr>
        <w:spacing w:lineRule="auto" w:line="276"/>
        <w:ind w:left="360" w:hanging="360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skierowania 3 wystąpień pokontrolnych </w:t>
      </w:r>
      <w:r>
        <w:rPr>
          <w:rFonts w:ascii="Palatino Linotype" w:hAnsi="Palatino Linotype"/>
        </w:rPr>
        <w:t>z wnioskami o usunięcie stwierdzonych w toku kontroli nieprawidłowości.</w:t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Palatino Linotype" w:cs="Palatino Linotype" w:ascii="Palatino Linotype" w:hAnsi="Palatino Linotype"/>
        </w:rPr>
        <w:t xml:space="preserve">             </w:t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5601945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Times New Roman" w:hAnsi="Times New Roman" w:eastAsia="Times New Roman" w:cs="Times New Roman"/>
      <w:b/>
      <w:bCs/>
      <w:color w:val="auto"/>
      <w:sz w:val="36"/>
      <w:szCs w:val="36"/>
      <w:lang w:val="pl-PL" w:eastAsia="pl-PL" w:bidi="ar-SA"/>
    </w:rPr>
  </w:style>
  <w:style w:type="paragraph" w:styleId="Nagwek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pl-PL" w:eastAsia="pl-PL" w:bidi="ar-SA"/>
    </w:rPr>
  </w:style>
  <w:style w:type="paragraph" w:styleId="Nagwek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Times New Roman" w:hAnsi="Times New Roman" w:eastAsia="Times New Roman" w:cs="Times New Roman"/>
      <w:b/>
      <w:bCs/>
      <w:color w:val="auto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LibreOffice/5.3.2.2$Windows_x86 LibreOffice_project/6cd4f1ef626f15116896b1d8e1398b56da0d0ee1</Application>
  <Pages>2</Pages>
  <Words>302</Words>
  <Characters>1864</Characters>
  <CharactersWithSpaces>2161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2018-03-26T08:16:00Z</dcterms:created>
  <dc:creator>WIIH</dc:creator>
  <dc:description/>
  <dc:language>pl-PL</dc:language>
  <cp:lastModifiedBy/>
  <cp:lastPrinted>2018-01-04T08:42:00Z</cp:lastPrinted>
  <dcterms:modified xsi:type="dcterms:W3CDTF">2020-02-24T10:00:43Z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