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0" w:rsidRPr="00CC0500" w:rsidRDefault="00CC0500" w:rsidP="00CC050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C0500" w:rsidRPr="00CC0500" w:rsidTr="000B2788">
        <w:tc>
          <w:tcPr>
            <w:tcW w:w="4748" w:type="dxa"/>
            <w:shd w:val="clear" w:color="auto" w:fill="auto"/>
          </w:tcPr>
          <w:p w:rsidR="00CC0500" w:rsidRPr="00CC0500" w:rsidRDefault="00CC0500" w:rsidP="00CC0500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CC0500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1AEE925F" wp14:editId="4D72187C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500" w:rsidRPr="00CC0500" w:rsidRDefault="00CC0500" w:rsidP="00CC0500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CC050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CC0500" w:rsidRPr="00CC0500" w:rsidRDefault="00CC0500" w:rsidP="00CC0500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CC050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CC0500" w:rsidRPr="00CC0500" w:rsidRDefault="00CC0500" w:rsidP="00CC0500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C050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CC0500" w:rsidRPr="00CC0500" w:rsidRDefault="001A1B60" w:rsidP="00CC0500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 17</w:t>
      </w:r>
      <w:r w:rsid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lipca</w:t>
      </w:r>
      <w:r w:rsidR="00CC0500"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2017r.</w:t>
      </w:r>
    </w:p>
    <w:p w:rsidR="00CC0500" w:rsidRPr="00CC0500" w:rsidRDefault="00CC0500" w:rsidP="00CC0500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ŻG.8361.87.2017</w:t>
      </w:r>
    </w:p>
    <w:p w:rsidR="00CC0500" w:rsidRPr="00CC0500" w:rsidRDefault="00CC0500" w:rsidP="00CC0500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1A1B6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126</w:t>
      </w:r>
      <w:bookmarkStart w:id="0" w:name="_GoBack"/>
      <w:bookmarkEnd w:id="0"/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/2017</w:t>
      </w:r>
    </w:p>
    <w:p w:rsidR="00D00880" w:rsidRDefault="00CC0500" w:rsidP="00D00880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podstawie art. 40a ust. 1 pkt 4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oraz ust. 4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21 grudnia 2000r. o jakości handlowej artykułów rolno-spożywczych (tekst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jednolity: Dz. U. z 2016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r., poz.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1604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 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</w:t>
      </w:r>
      <w:r w:rsidR="00D0088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(tekst jednolity: Dz. U. z 2016r. poz. 23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 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przedsiębiorcy: </w:t>
      </w:r>
      <w:r>
        <w:rPr>
          <w:rFonts w:ascii="Times New Roman" w:hAnsi="Times New Roman" w:cs="Times New Roman"/>
          <w:b/>
          <w:bCs/>
        </w:rPr>
        <w:t xml:space="preserve">AJEX – POL Spółce z ograniczoną odpowiedzialnością </w:t>
      </w:r>
      <w:r w:rsidRPr="003F253D">
        <w:rPr>
          <w:rFonts w:ascii="Times New Roman" w:hAnsi="Times New Roman" w:cs="Times New Roman"/>
          <w:bCs/>
        </w:rPr>
        <w:t>z siedzibą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Częstochowie przy ul. </w:t>
      </w:r>
      <w:r w:rsidR="001B3781">
        <w:rPr>
          <w:rFonts w:ascii="Times New Roman" w:hAnsi="Times New Roman" w:cs="Times New Roman"/>
          <w:bCs/>
        </w:rPr>
        <w:t>Gazowej</w:t>
      </w:r>
      <w:r>
        <w:rPr>
          <w:rFonts w:ascii="Times New Roman" w:hAnsi="Times New Roman" w:cs="Times New Roman"/>
          <w:bCs/>
        </w:rPr>
        <w:t xml:space="preserve"> 14, 42-202 Częstochowa - </w:t>
      </w:r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karę pieniężną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hAnsi="Times New Roman" w:cs="Times New Roman"/>
          <w:bCs/>
          <w:sz w:val="24"/>
          <w:szCs w:val="24"/>
        </w:rPr>
        <w:t>w</w:t>
      </w:r>
      <w:r w:rsidRPr="00CC050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wysokości</w:t>
      </w: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8788,48</w:t>
      </w: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zł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(słownie: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osiem tysięcy siedemset osiemdziesiąt osiem złotych 48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/100) określoną na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podstawie art. 40a ust. 1 pkt 4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ww.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ustawy o jakości handlowej –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tytułu wprowadzenia do obrotu </w:t>
      </w:r>
      <w:r w:rsidR="00D008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 partii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produktów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zafałszowanych tj.:</w:t>
      </w:r>
    </w:p>
    <w:p w:rsidR="00D00880" w:rsidRDefault="00D00880" w:rsidP="00D00880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0880" w:rsidRPr="00D00880" w:rsidRDefault="00CC0500" w:rsidP="00D00880">
      <w:pPr>
        <w:numPr>
          <w:ilvl w:val="0"/>
          <w:numId w:val="2"/>
        </w:numPr>
        <w:suppressAutoHyphens/>
        <w:spacing w:after="0" w:line="240" w:lineRule="auto"/>
        <w:ind w:left="0" w:hanging="11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C05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Mintaj filety (</w:t>
      </w:r>
      <w:proofErr w:type="spellStart"/>
      <w:r w:rsidRPr="00CC05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Theragra</w:t>
      </w:r>
      <w:proofErr w:type="spellEnd"/>
      <w:r w:rsidRPr="00CC05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CC05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chalcogramma</w:t>
      </w:r>
      <w:proofErr w:type="spellEnd"/>
      <w:r w:rsidRPr="00CC05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) bez skóry, indywidualnie mrożone, glazurowane, z dodaną wodą,</w:t>
      </w:r>
      <w:r w:rsidRPr="00CC050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„TRITON POLAND”</w:t>
      </w:r>
      <w:r w:rsidRPr="00CC050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zawartość glazury 35%; w ilości 440kg (88 opakowań a’5kg/3,25kg), w cenie sprzedaży 5,78 zł/kg, wartości 2543,20 zł, z datą minimalnej trwałości 18.08.2018r. i numerem partii produkcyjnej L 324. </w:t>
      </w:r>
      <w:r w:rsidRPr="00CC0500">
        <w:rPr>
          <w:rFonts w:ascii="Times New Roman" w:eastAsia="SimSun" w:hAnsi="Times New Roman" w:cs="Times New Roman"/>
          <w:kern w:val="2"/>
          <w:sz w:val="24"/>
          <w:szCs w:val="21"/>
          <w:lang w:eastAsia="zh-CN" w:bidi="hi-IN"/>
        </w:rPr>
        <w:t>Importer: TRITON POLAND Sp. z o.o., ul. Polska 20, 81 – 339 Gdynia, Producent: DALIAN CHENGHONG SEAFOODS CO., LTD.</w:t>
      </w:r>
    </w:p>
    <w:p w:rsidR="00D00880" w:rsidRPr="00CC0500" w:rsidRDefault="00D00880" w:rsidP="00D0088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CC0500" w:rsidRPr="00D00880" w:rsidRDefault="00CC0500" w:rsidP="00D00880">
      <w:pPr>
        <w:numPr>
          <w:ilvl w:val="0"/>
          <w:numId w:val="2"/>
        </w:numPr>
        <w:suppressAutoHyphens/>
        <w:spacing w:after="0" w:line="240" w:lineRule="auto"/>
        <w:ind w:left="0" w:hanging="11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żółtopłetwa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filety bez skóry z dodaną wodą, mrożone, glazurowane IQF (</w:t>
      </w: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aspera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,</w:t>
      </w:r>
      <w:r w:rsidRPr="00CC0500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</w:t>
      </w:r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w ilości 360 kg (72 opakowania a’5kg/3,5kg), w cenie sprzedaży 13,44 zł/kg, wartości 4838,40 zł, z datą minimalnej trwałości 11.2018 r. i numerem partii produkcyjnej 16112616037J. Importer: </w:t>
      </w:r>
      <w:proofErr w:type="spellStart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Nord</w:t>
      </w:r>
      <w:proofErr w:type="spellEnd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Capital Sp. z o.o., Rekowo Górne, ul. Pucka 4, 84 – 123 Połchowo. Producent: EU </w:t>
      </w:r>
      <w:proofErr w:type="spellStart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Appr</w:t>
      </w:r>
      <w:proofErr w:type="spellEnd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. No: 2100/02187.</w:t>
      </w:r>
    </w:p>
    <w:p w:rsidR="00D00880" w:rsidRPr="00CC0500" w:rsidRDefault="00D00880" w:rsidP="00D0088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CC0500" w:rsidRPr="00CC0500" w:rsidRDefault="00CC0500" w:rsidP="00D00880">
      <w:pPr>
        <w:numPr>
          <w:ilvl w:val="0"/>
          <w:numId w:val="2"/>
        </w:numPr>
        <w:suppressAutoHyphens/>
        <w:spacing w:after="0" w:line="240" w:lineRule="auto"/>
        <w:ind w:left="0" w:hanging="11"/>
        <w:contextualSpacing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</w:pP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Nototenia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falklandzka tusze (</w:t>
      </w: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Patagonotothen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Ramasayi</w:t>
      </w:r>
      <w:proofErr w:type="spellEnd"/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</w:t>
      </w:r>
      <w:r w:rsidRPr="00CC0500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glazurowana, </w:t>
      </w:r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rozmiar ryby 100 – 300g, zawartość glazury 20%; w ilości 120 kg (tj. 20 opakowań a’6kg/4,80kg); w cenie sprzedaży 8,87 zł/kg., wartości 1064,40 zł., z datą minimalnej trwałości 10.2018 i numerem partii produkcyjnej TRITON/NT/11/I/2017. Wyprodukowano przez: </w:t>
      </w:r>
      <w:proofErr w:type="spellStart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Intersea</w:t>
      </w:r>
      <w:proofErr w:type="spellEnd"/>
      <w:r w:rsidRPr="00CC0500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Poland R.B. Góra sp. j. Zakłady Rybne – Chłodnia, 62 – 200 Gniezno, z towaru i na zlecenie: TRITON POLAND Sp. z o.o., ul. Polska 20, 81 – 339 Gdynia.</w:t>
      </w:r>
    </w:p>
    <w:p w:rsidR="00CC0500" w:rsidRDefault="00CC0500" w:rsidP="00CC050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0880" w:rsidRPr="00CC0500" w:rsidRDefault="00D00880" w:rsidP="00CC050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UZASADNIENIE</w:t>
      </w:r>
    </w:p>
    <w:p w:rsidR="00CC0500" w:rsidRPr="00CC0500" w:rsidRDefault="00CC0500" w:rsidP="00AA0C2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E324A4">
        <w:rPr>
          <w:rFonts w:ascii="Times New Roman" w:hAnsi="Times New Roman" w:cs="Times New Roman"/>
          <w:bCs/>
        </w:rPr>
        <w:t xml:space="preserve">5 -7 kwietnia 2017r. </w:t>
      </w:r>
      <w:r w:rsidRPr="00CC050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na podstawie upoważnienia do kontroli wydanego przez Świętokrzyskiego Wojewódzkiego Inspektora Inspekcji Handlowej – zwa</w:t>
      </w:r>
      <w:r w:rsidR="00E324A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nego dalej ŚWIIH, nr ŻG.8361.87.2017</w:t>
      </w:r>
      <w:r w:rsidRPr="00CC050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 dnia </w:t>
      </w:r>
      <w:r w:rsidR="00CC058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4 kwietnia</w:t>
      </w:r>
      <w:r w:rsidR="0065224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2017</w:t>
      </w:r>
      <w:r w:rsidRPr="00CC050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r., inspektorzy Wojewódzkiego Inspektoratu Inspekcji Handlowej w Kielcach dokonali kontroli przedsiębiorcy:</w:t>
      </w:r>
      <w:r w:rsidR="00CC0587" w:rsidRPr="00CC0587">
        <w:rPr>
          <w:rFonts w:ascii="Times New Roman" w:hAnsi="Times New Roman" w:cs="Times New Roman"/>
          <w:b/>
          <w:bCs/>
        </w:rPr>
        <w:t xml:space="preserve"> </w:t>
      </w:r>
      <w:r w:rsidR="00CC0587">
        <w:rPr>
          <w:rFonts w:ascii="Times New Roman" w:hAnsi="Times New Roman" w:cs="Times New Roman"/>
          <w:b/>
          <w:bCs/>
        </w:rPr>
        <w:t xml:space="preserve">AJEX – POL Sp. z o. o. </w:t>
      </w:r>
      <w:r w:rsidR="0016307E">
        <w:rPr>
          <w:rFonts w:ascii="Times New Roman" w:hAnsi="Times New Roman" w:cs="Times New Roman"/>
          <w:bCs/>
        </w:rPr>
        <w:t>z </w:t>
      </w:r>
      <w:r w:rsidR="00CC0587" w:rsidRPr="003F253D">
        <w:rPr>
          <w:rFonts w:ascii="Times New Roman" w:hAnsi="Times New Roman" w:cs="Times New Roman"/>
          <w:bCs/>
        </w:rPr>
        <w:t>siedzibą w</w:t>
      </w:r>
      <w:r w:rsidR="00CC0587">
        <w:rPr>
          <w:rFonts w:ascii="Times New Roman" w:hAnsi="Times New Roman" w:cs="Times New Roman"/>
          <w:b/>
          <w:bCs/>
        </w:rPr>
        <w:t xml:space="preserve"> </w:t>
      </w:r>
      <w:r w:rsidR="00CC0587">
        <w:rPr>
          <w:rFonts w:ascii="Times New Roman" w:hAnsi="Times New Roman" w:cs="Times New Roman"/>
          <w:bCs/>
        </w:rPr>
        <w:t>Częstochowie</w:t>
      </w:r>
      <w:r w:rsidR="00CC058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 zwanego dalej „stroną, kontrolowanym przedsiębiorcą, przedsiębiorcą, spółką”. Kontrolę przeprowadzono na podstawie przepisów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15 grudnia 2000r. o Inspekcji Handlowej (t. j.: Dz. U. 2016r. poz. 1059 z 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”; art. 17 ust. 3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</w:t>
      </w:r>
      <w:r w:rsidR="00CC058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spożywczych (t. j.: Dz. U.  2016r. poz. 1604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 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3 ust. 1, 2, 3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 1 z 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placówce handlowej: </w:t>
      </w:r>
      <w:r w:rsidR="00CC0587" w:rsidRPr="00CC05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Hurtownia rybna AJE</w:t>
      </w:r>
      <w:r w:rsidR="00CC05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X – POL, Skład Zamiejscowy, ul. </w:t>
      </w:r>
      <w:r w:rsidR="00CC0587" w:rsidRPr="00CC05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Zagnańska</w:t>
      </w:r>
      <w:r w:rsidR="00CC05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71, 25-558 Kielce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w obecności osoby pisemnie upoważnionej do reprezentowania przedsiębiorcy – </w:t>
      </w:r>
      <w:r w:rsidR="00CC058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Izabeli Piwowarczyk.</w:t>
      </w:r>
    </w:p>
    <w:p w:rsidR="00CC0500" w:rsidRPr="00CC0500" w:rsidRDefault="00CC0500" w:rsidP="00CC050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0">
        <w:rPr>
          <w:rFonts w:ascii="Times New Roman" w:hAnsi="Times New Roman" w:cs="Times New Roman"/>
          <w:sz w:val="24"/>
          <w:szCs w:val="24"/>
        </w:rPr>
        <w:tab/>
        <w:t>W celu sprawdzenia jakości oferowanych do sprzedaży artykułów rolno - spożywczych, na podstawie przepisów art. 16 ust. 1 pkt. 10 oraz przepisów rozdziału 6</w:t>
      </w:r>
      <w:r w:rsidRPr="00CC0500">
        <w:rPr>
          <w:rFonts w:ascii="Times New Roman" w:hAnsi="Times New Roman" w:cs="Times New Roman"/>
          <w:i/>
          <w:iCs/>
          <w:sz w:val="24"/>
          <w:szCs w:val="24"/>
        </w:rPr>
        <w:t xml:space="preserve"> ustawy o Inspekcji Handlowej </w:t>
      </w:r>
      <w:r w:rsidRPr="00CC0500">
        <w:rPr>
          <w:rFonts w:ascii="Times New Roman" w:hAnsi="Times New Roman" w:cs="Times New Roman"/>
          <w:sz w:val="24"/>
          <w:szCs w:val="24"/>
        </w:rPr>
        <w:t>zostały pobrane do badań laboratoryjnych próbki podstawowe oraz próbki kontrolne nw. ryb mrożonych:</w:t>
      </w:r>
    </w:p>
    <w:p w:rsidR="00B003E1" w:rsidRPr="00B003E1" w:rsidRDefault="00B003E1" w:rsidP="00B003E1">
      <w:pPr>
        <w:pStyle w:val="Akapitzlist"/>
        <w:numPr>
          <w:ilvl w:val="0"/>
          <w:numId w:val="7"/>
        </w:numPr>
        <w:suppressAutoHyphens/>
        <w:spacing w:after="0" w:line="360" w:lineRule="auto"/>
        <w:ind w:left="0" w:hanging="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B003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Mintaj filety (</w:t>
      </w:r>
      <w:proofErr w:type="spellStart"/>
      <w:r w:rsidRPr="00B003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Theragra</w:t>
      </w:r>
      <w:proofErr w:type="spellEnd"/>
      <w:r w:rsidRPr="00B003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B003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chalcogramma</w:t>
      </w:r>
      <w:proofErr w:type="spellEnd"/>
      <w:r w:rsidRPr="00B003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) bez skóry, indywidualnie mrożone, glazurowane, z dodaną wodą,</w:t>
      </w:r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003E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„TRITON POLAND”</w:t>
      </w:r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zawartość glazury 35%; w ilości 440kg (88 opakowań a’5kg/3,25kg), w cenie sprzedaży 5,78 zł/kg, wartości 2543,20 zł, z datą minimalnej trwałości 18.08.2018r. i numerem partii produkcyjnej L 324. </w:t>
      </w:r>
      <w:r w:rsidRPr="00B003E1">
        <w:rPr>
          <w:rFonts w:ascii="Times New Roman" w:eastAsia="SimSun" w:hAnsi="Times New Roman" w:cs="Times New Roman"/>
          <w:kern w:val="2"/>
          <w:sz w:val="24"/>
          <w:szCs w:val="21"/>
          <w:lang w:eastAsia="zh-CN" w:bidi="hi-IN"/>
        </w:rPr>
        <w:t>Importer: TRITON POLAND Sp. z o.o., ul. Polska 20, 81 – 339 Gdynia, Producent: DALIAN CHENGHONG SEAFOODS CO., LTD.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Informacje na opakowaniu produktu: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Skład (składniki): filet z ryby, woda, stabilizator E451. Nazwa łacińska: </w:t>
      </w:r>
      <w:proofErr w:type="spellStart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Theragra</w:t>
      </w:r>
      <w:proofErr w:type="spellEnd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chalcogramma</w:t>
      </w:r>
      <w:proofErr w:type="spellEnd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Metoda produkcji: złowione w morzu. Narzędzie połowu: włoki. Obszar połowu: FAO 61. Kraj pochodzenia: Chiny. Przechowywać w temperaturze -18°C. Data pierwszego zamrożenia: 28/01/2016. Najlepiej spożyć przed: 18/08/2018. PRODUKT GŁĘBOKO MROŻONY, PO ROZMROŻENIU PONOWNIE NIE ZAMRAŻAĆ. Specyfikacja: IQF – Filety Indywidualnie Mrożone. Opakowanie jednostkowe: 5 kg. Glazura: </w:t>
      </w:r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max. 35%. Masa netto ryby bez glazury: 3,25 kg. Nr UE </w:t>
      </w:r>
      <w:proofErr w:type="spellStart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Apr</w:t>
      </w:r>
      <w:proofErr w:type="spellEnd"/>
      <w:r w:rsidRPr="00B003E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 No: 2100/02159. Rozmiar 6 – 8 oz.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003E1" w:rsidRPr="00B003E1" w:rsidRDefault="00B003E1" w:rsidP="00B003E1">
      <w:pPr>
        <w:numPr>
          <w:ilvl w:val="0"/>
          <w:numId w:val="7"/>
        </w:numPr>
        <w:suppressAutoHyphens/>
        <w:spacing w:after="0" w:line="360" w:lineRule="auto"/>
        <w:ind w:left="0" w:hanging="11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żółtopłetwa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filety bez skóry z dodaną wodą, mrożone, glazurowane IQF (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aspera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,</w:t>
      </w:r>
      <w:r w:rsidRPr="00B003E1"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 xml:space="preserve"> 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w ilości 360 kg (72 opakowania a’5kg/3,5kg), w cenie sprzedaży 13,44 zł/kg, wartości 4838,40 zł, z datą minimalnej trwałości 11.2018 r. i numerem partii produkcyjnej 16112616037J. Importer: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Nord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Capital Sp. z o.o., Rekowo Górne, ul. Pucka 4, 84 – 123 Połchowo. Producent: EU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Appr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. No: 2100/02187.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</w:pP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>Informacje na opakowaniu produktu: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</w:pP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 xml:space="preserve">Opakowanie jednostkowe 5kg. Masa netto (bez glazury) 3,5 kg. Rozmiar 3 - 5 oz. Składniki: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>limanda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>żółtopłetwa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  <w:t xml:space="preserve"> filety bez skóry (70%), woda, stabilizator E451. Zamrożone dnia 24.09.2016. Przechowywać w temperaturze poniżej: -18°C. Produkt głęboko mrożony. Nie zamrażać po rozmrożeniu. Spożyć po obróbce termicznej. Pochodzenie: Chiny. Złowione w morzu: Ocean Spokojny. Obszar połowu: FAO 67. Narzędzie połowu: włoki.</w:t>
      </w:r>
    </w:p>
    <w:p w:rsidR="00B003E1" w:rsidRPr="00B003E1" w:rsidRDefault="00B003E1" w:rsidP="00B003E1">
      <w:pPr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4"/>
          <w:lang w:eastAsia="zh-CN" w:bidi="hi-IN"/>
        </w:rPr>
      </w:pPr>
    </w:p>
    <w:p w:rsidR="00B003E1" w:rsidRPr="00B003E1" w:rsidRDefault="00B003E1" w:rsidP="00B003E1">
      <w:pPr>
        <w:numPr>
          <w:ilvl w:val="0"/>
          <w:numId w:val="7"/>
        </w:numPr>
        <w:suppressAutoHyphens/>
        <w:spacing w:after="0" w:line="360" w:lineRule="auto"/>
        <w:ind w:left="0" w:hanging="11"/>
        <w:contextualSpacing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</w:pP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Nototenia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falklandzka tusze (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Patagonotothen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Ramasayi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</w:t>
      </w:r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glazurowana, 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rozmiar ryby 100 – 300g, zawartość glazury 20%; w ilości 120 kg (tj. 20 opakowań a’6kg/4,80kg); w cenie sprzedaży 8,87 zł/kg., wartości 1064,40 zł., z datą minimalnej trwałości 10.2018 i numerem partii produkcyjnej TRITON/NT/11/I/2017. Wyprodukowano przez: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Intersea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Poland R.B. Góra sp. j. Zakłady Rybne – Chłodnia, 62 – 200 Gniezno, z towaru i na zlecenie: TRITON POLAND Sp. z o.o., ul. Polska 20, 81 – 339 Gdynia.</w:t>
      </w:r>
    </w:p>
    <w:p w:rsidR="00B003E1" w:rsidRPr="00B003E1" w:rsidRDefault="00B003E1" w:rsidP="00B003E1">
      <w:pPr>
        <w:suppressAutoHyphen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</w:pP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Informacje na opakowaniu produktu:</w:t>
      </w:r>
    </w:p>
    <w:p w:rsidR="00B003E1" w:rsidRPr="00B003E1" w:rsidRDefault="00B003E1" w:rsidP="00B003E1">
      <w:pPr>
        <w:suppressAutoHyphen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</w:pP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Skład: </w:t>
      </w:r>
      <w:proofErr w:type="spellStart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Nototenia</w:t>
      </w:r>
      <w:proofErr w:type="spellEnd"/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falklandzka tusze. Glazura: 20%. Kraj pochodzenia: Hiszpania. Obszar połowu: FAO 41 (Płd. Zach. Atlantyk). Metoda produkcji: Złowione w morzu. Narzędzie połowu: Włoki. Data zamrożenia: 28.10.2016. Opakowanie jednostkowe 6 kg. Masa netto ryb bez glazury: 4,80 kg. Przechowywać w temperaturze poniżej -18 st. C. Produkt głęboko mrożony. Chronić przed rozmrożeniem. Po rozmrożeniu nie zamrażać powtórnie. Spożyć po obróbce termicznej. Oznaczenie owalnym znakiem weterynaryjnym PL 30031101 WE.</w:t>
      </w:r>
    </w:p>
    <w:p w:rsidR="00B003E1" w:rsidRDefault="00B003E1" w:rsidP="00CC050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eastAsia="Palatino Linotype" w:hAnsi="Times New Roman" w:cs="Times New Roman"/>
          <w:b/>
          <w:bCs/>
          <w:iCs/>
          <w:kern w:val="2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0500">
        <w:rPr>
          <w:rFonts w:ascii="Times New Roman" w:hAnsi="Times New Roman" w:cs="Times New Roman"/>
          <w:sz w:val="24"/>
          <w:szCs w:val="24"/>
        </w:rPr>
        <w:t xml:space="preserve">Powyższe zostało udokumentowane w protokołach pobrania: próbki </w:t>
      </w:r>
      <w:r w:rsidR="002501FD">
        <w:rPr>
          <w:rFonts w:ascii="Times New Roman" w:hAnsi="Times New Roman" w:cs="Times New Roman"/>
          <w:sz w:val="24"/>
          <w:szCs w:val="24"/>
        </w:rPr>
        <w:t xml:space="preserve">podstawowej nr 105818 </w:t>
      </w:r>
      <w:r w:rsidRPr="00CC0500">
        <w:rPr>
          <w:rFonts w:ascii="Times New Roman" w:hAnsi="Times New Roman" w:cs="Times New Roman"/>
          <w:sz w:val="24"/>
          <w:szCs w:val="24"/>
        </w:rPr>
        <w:t>o</w:t>
      </w:r>
      <w:r w:rsidR="002501FD">
        <w:rPr>
          <w:rFonts w:ascii="Times New Roman" w:hAnsi="Times New Roman" w:cs="Times New Roman"/>
          <w:sz w:val="24"/>
          <w:szCs w:val="24"/>
        </w:rPr>
        <w:t>raz próbki kontrolnej nr 105819</w:t>
      </w:r>
      <w:r w:rsidRPr="00CC0500">
        <w:rPr>
          <w:rFonts w:ascii="Times New Roman" w:hAnsi="Times New Roman" w:cs="Times New Roman"/>
          <w:sz w:val="24"/>
          <w:szCs w:val="24"/>
        </w:rPr>
        <w:t xml:space="preserve"> z dnia </w:t>
      </w:r>
      <w:r w:rsidR="002501FD">
        <w:rPr>
          <w:rFonts w:ascii="Times New Roman" w:hAnsi="Times New Roman" w:cs="Times New Roman"/>
          <w:sz w:val="24"/>
          <w:szCs w:val="24"/>
        </w:rPr>
        <w:t>5 kwietnia 2017</w:t>
      </w:r>
      <w:r w:rsidRPr="00CC0500">
        <w:rPr>
          <w:rFonts w:ascii="Times New Roman" w:hAnsi="Times New Roman" w:cs="Times New Roman"/>
          <w:sz w:val="24"/>
          <w:szCs w:val="24"/>
        </w:rPr>
        <w:t>r.</w:t>
      </w:r>
    </w:p>
    <w:p w:rsidR="00CC0500" w:rsidRPr="00CC0500" w:rsidRDefault="00CC0500" w:rsidP="00CC050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0">
        <w:rPr>
          <w:rFonts w:ascii="Times New Roman" w:hAnsi="Times New Roman" w:cs="Times New Roman"/>
          <w:sz w:val="24"/>
          <w:szCs w:val="24"/>
        </w:rPr>
        <w:tab/>
        <w:t xml:space="preserve">Próbki podstawowe produktów – zapakowane, zabezpieczone banderolą, opisane, opieczętowane i podpisane - zostały przekazane do Laboratorium </w:t>
      </w:r>
      <w:proofErr w:type="spellStart"/>
      <w:r w:rsidRPr="00CC0500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Pr="00CC0500">
        <w:rPr>
          <w:rFonts w:ascii="Times New Roman" w:hAnsi="Times New Roman" w:cs="Times New Roman"/>
          <w:sz w:val="24"/>
          <w:szCs w:val="24"/>
        </w:rPr>
        <w:t xml:space="preserve"> – Analitycznego Urzędu Ochrony Konkurencji i Konsumentów z siedzibą w Kielcach przy ul. Sienkiewicza 76, 25 - 950 Kielce (protokół </w:t>
      </w:r>
      <w:r w:rsidR="00367295">
        <w:rPr>
          <w:rFonts w:ascii="Times New Roman" w:hAnsi="Times New Roman" w:cs="Times New Roman"/>
          <w:sz w:val="24"/>
          <w:szCs w:val="24"/>
        </w:rPr>
        <w:t xml:space="preserve">przyjęcia próbek do badań nr </w:t>
      </w:r>
      <w:r w:rsidRPr="00CC0500">
        <w:rPr>
          <w:rFonts w:ascii="Times New Roman" w:hAnsi="Times New Roman" w:cs="Times New Roman"/>
          <w:sz w:val="24"/>
          <w:szCs w:val="24"/>
        </w:rPr>
        <w:t>7</w:t>
      </w:r>
      <w:r w:rsidR="00367295">
        <w:rPr>
          <w:rFonts w:ascii="Times New Roman" w:hAnsi="Times New Roman" w:cs="Times New Roman"/>
          <w:sz w:val="24"/>
          <w:szCs w:val="24"/>
        </w:rPr>
        <w:t>1/2017</w:t>
      </w:r>
      <w:r w:rsidRPr="00CC0500">
        <w:rPr>
          <w:rFonts w:ascii="Times New Roman" w:hAnsi="Times New Roman" w:cs="Times New Roman"/>
          <w:sz w:val="24"/>
          <w:szCs w:val="24"/>
        </w:rPr>
        <w:t>). Natomiast zabezpieczone próbki kontrolne pozostawiono w kontrolowanej placówce, pod nadzorem osoby upoważnionej do reprezentowania przedsiębiorcy.</w:t>
      </w:r>
    </w:p>
    <w:p w:rsidR="009B0DF4" w:rsidRDefault="00CC0500" w:rsidP="00190F7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C0500">
        <w:rPr>
          <w:rFonts w:ascii="Times New Roman" w:hAnsi="Times New Roman" w:cs="Times New Roman"/>
          <w:sz w:val="24"/>
          <w:szCs w:val="24"/>
        </w:rPr>
        <w:lastRenderedPageBreak/>
        <w:tab/>
        <w:t>W toku dalszych czynności kontrolnych dokonano oceny prawidł</w:t>
      </w:r>
      <w:r w:rsidR="007A714B">
        <w:rPr>
          <w:rFonts w:ascii="Times New Roman" w:hAnsi="Times New Roman" w:cs="Times New Roman"/>
          <w:sz w:val="24"/>
          <w:szCs w:val="24"/>
        </w:rPr>
        <w:t>owości oznakowania</w:t>
      </w:r>
      <w:r w:rsidRPr="00CC0500">
        <w:rPr>
          <w:rFonts w:ascii="Times New Roman" w:hAnsi="Times New Roman" w:cs="Times New Roman"/>
          <w:sz w:val="24"/>
          <w:szCs w:val="24"/>
        </w:rPr>
        <w:t xml:space="preserve"> </w:t>
      </w:r>
      <w:r w:rsidR="003F485A">
        <w:rPr>
          <w:rFonts w:ascii="Times New Roman" w:hAnsi="Times New Roman" w:cs="Times New Roman"/>
          <w:sz w:val="24"/>
          <w:szCs w:val="24"/>
        </w:rPr>
        <w:t xml:space="preserve">5 partii </w:t>
      </w:r>
      <w:r w:rsidRPr="00CC0500">
        <w:rPr>
          <w:rFonts w:ascii="Times New Roman" w:hAnsi="Times New Roman" w:cs="Times New Roman"/>
          <w:sz w:val="24"/>
          <w:szCs w:val="24"/>
        </w:rPr>
        <w:t>ryb mro</w:t>
      </w:r>
      <w:r w:rsidR="001D4C5F">
        <w:rPr>
          <w:rFonts w:ascii="Times New Roman" w:hAnsi="Times New Roman" w:cs="Times New Roman"/>
          <w:sz w:val="24"/>
          <w:szCs w:val="24"/>
        </w:rPr>
        <w:t>żonych</w:t>
      </w:r>
      <w:r w:rsidR="003F485A">
        <w:rPr>
          <w:rFonts w:ascii="Times New Roman" w:hAnsi="Times New Roman" w:cs="Times New Roman"/>
          <w:sz w:val="24"/>
          <w:szCs w:val="24"/>
        </w:rPr>
        <w:t xml:space="preserve"> (2 partie </w:t>
      </w:r>
      <w:r w:rsidR="00A75CE2">
        <w:rPr>
          <w:rFonts w:ascii="Times New Roman" w:hAnsi="Times New Roman" w:cs="Times New Roman"/>
          <w:sz w:val="24"/>
          <w:szCs w:val="24"/>
        </w:rPr>
        <w:t xml:space="preserve">ryb </w:t>
      </w:r>
      <w:r w:rsidR="003F485A">
        <w:rPr>
          <w:rFonts w:ascii="Times New Roman" w:hAnsi="Times New Roman" w:cs="Times New Roman"/>
          <w:sz w:val="24"/>
          <w:szCs w:val="24"/>
        </w:rPr>
        <w:t>wybrane losowo oraz 3</w:t>
      </w:r>
      <w:r w:rsidR="00A75CE2">
        <w:rPr>
          <w:rFonts w:ascii="Times New Roman" w:hAnsi="Times New Roman" w:cs="Times New Roman"/>
          <w:sz w:val="24"/>
          <w:szCs w:val="24"/>
        </w:rPr>
        <w:t xml:space="preserve"> partie ryb pobrane do badań laborator</w:t>
      </w:r>
      <w:r w:rsidR="003F485A">
        <w:rPr>
          <w:rFonts w:ascii="Times New Roman" w:hAnsi="Times New Roman" w:cs="Times New Roman"/>
          <w:sz w:val="24"/>
          <w:szCs w:val="24"/>
        </w:rPr>
        <w:t>yjnych)</w:t>
      </w:r>
      <w:r w:rsidR="00A75CE2">
        <w:rPr>
          <w:rFonts w:ascii="Times New Roman" w:hAnsi="Times New Roman" w:cs="Times New Roman"/>
          <w:sz w:val="24"/>
          <w:szCs w:val="24"/>
        </w:rPr>
        <w:t>.</w:t>
      </w:r>
      <w:r w:rsidRPr="00CC0500">
        <w:rPr>
          <w:rFonts w:ascii="Times New Roman" w:hAnsi="Times New Roman" w:cs="Times New Roman"/>
          <w:sz w:val="24"/>
          <w:szCs w:val="24"/>
        </w:rPr>
        <w:t xml:space="preserve"> W wyniku tej oceny</w:t>
      </w:r>
      <w:r w:rsidRPr="00CC0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F71">
        <w:rPr>
          <w:rFonts w:ascii="Times New Roman" w:hAnsi="Times New Roman" w:cs="Times New Roman"/>
          <w:sz w:val="24"/>
          <w:szCs w:val="24"/>
        </w:rPr>
        <w:t xml:space="preserve">zakwestionowano </w:t>
      </w:r>
      <w:r w:rsidR="009B0DF4"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190F71">
        <w:rPr>
          <w:rFonts w:ascii="Times New Roman" w:hAnsi="Times New Roman" w:cs="Times New Roman"/>
          <w:sz w:val="24"/>
          <w:szCs w:val="24"/>
        </w:rPr>
        <w:t xml:space="preserve">1 </w:t>
      </w:r>
      <w:r w:rsidR="009B0DF4">
        <w:rPr>
          <w:rFonts w:ascii="Times New Roman" w:hAnsi="Times New Roman" w:cs="Times New Roman"/>
          <w:sz w:val="24"/>
          <w:szCs w:val="24"/>
        </w:rPr>
        <w:t>partii</w:t>
      </w:r>
      <w:r w:rsidR="00190F71">
        <w:rPr>
          <w:rFonts w:ascii="Times New Roman" w:hAnsi="Times New Roman" w:cs="Times New Roman"/>
          <w:sz w:val="24"/>
          <w:szCs w:val="24"/>
        </w:rPr>
        <w:t xml:space="preserve"> ryb</w:t>
      </w:r>
      <w:r w:rsidR="00190F71" w:rsidRPr="00190F71">
        <w:rPr>
          <w:rFonts w:ascii="Times New Roman" w:hAnsi="Times New Roman" w:cs="Times New Roman"/>
          <w:sz w:val="24"/>
          <w:szCs w:val="24"/>
        </w:rPr>
        <w:t xml:space="preserve">: </w:t>
      </w:r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Mintaj filety (</w:t>
      </w:r>
      <w:proofErr w:type="spellStart"/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Theragra</w:t>
      </w:r>
      <w:proofErr w:type="spellEnd"/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chalcogramma</w:t>
      </w:r>
      <w:proofErr w:type="spellEnd"/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) bez skóry, indywidualnie mrożone, glazurowane, z dodaną wodą, </w:t>
      </w:r>
      <w:r w:rsidR="00190F71" w:rsidRPr="00190F7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„TRITON POLAND”</w:t>
      </w:r>
      <w:r w:rsidR="00190F71" w:rsidRPr="00190F7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zawartość glazury 35%</w:t>
      </w:r>
      <w:r w:rsidR="009B0DF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- z uwagi na:</w:t>
      </w:r>
    </w:p>
    <w:p w:rsidR="009B0DF4" w:rsidRPr="009B0DF4" w:rsidRDefault="009B0DF4" w:rsidP="009B0DF4">
      <w:pPr>
        <w:suppressAutoHyphens/>
        <w:spacing w:before="113" w:after="113" w:line="36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B0DF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 na brak wskazania nazwy obszaru rybołówstwa FAO </w:t>
      </w:r>
      <w:r w:rsidR="00EA027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przy zastosowaniu terminologii zrozumiałej dla konsumenta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,</w:t>
      </w:r>
      <w:r w:rsidR="00EA027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na którym produkt został złowiony (podano jedynie informację „FAO 61” bez określenia czego ten zapis dotyczy)</w:t>
      </w:r>
      <w:r w:rsidR="00DA7C0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stanowi</w:t>
      </w:r>
      <w:r w:rsidR="00DA7C0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to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naruszenie przepisów</w:t>
      </w:r>
      <w:r w:rsidRPr="009B0DF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art. 35 ust. 1 pkt c) w związku z art. 38 ust 1 pkt a</w:t>
      </w:r>
      <w:r w:rsidRPr="009B0DF4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) </w:t>
      </w:r>
      <w:r w:rsidRPr="009B0DF4">
        <w:rPr>
          <w:rFonts w:ascii="Times New Roman" w:eastAsia="Palatino Linotype" w:hAnsi="Times New Roman" w:cs="Times New Roman"/>
          <w:i/>
          <w:sz w:val="24"/>
          <w:szCs w:val="24"/>
          <w:lang w:eastAsia="zh-CN" w:bidi="hi-IN"/>
        </w:rPr>
        <w:t xml:space="preserve">rozporządzenia Parlamentu Europejskiego i Rady (UE) nr 1379/2013 z dnia 11 grudnia 2013 r. </w:t>
      </w:r>
      <w:r w:rsidRPr="009B0DF4">
        <w:rPr>
          <w:rFonts w:ascii="Times New Roman" w:eastAsia="Palatino Linotype" w:hAnsi="Times New Roman" w:cs="Times New Roman"/>
          <w:bCs/>
          <w:i/>
          <w:sz w:val="24"/>
          <w:szCs w:val="24"/>
          <w:lang w:eastAsia="zh-CN" w:bidi="hi-IN"/>
        </w:rPr>
        <w:t xml:space="preserve">w sprawie wspólnej organizacji rynków produktów rybołówstwa i akwakultury, zmieniające rozporządzenia Rady (WE) nr 1184/2006 i (WE) nr 1224/2009 oraz uchylające rozporządzenie Rady (WE) nr 104/2000 (Dz. U. UE L 354 z 28.12.2013 s. 1 z </w:t>
      </w:r>
      <w:proofErr w:type="spellStart"/>
      <w:r w:rsidRPr="009B0DF4">
        <w:rPr>
          <w:rFonts w:ascii="Times New Roman" w:eastAsia="Palatino Linotype" w:hAnsi="Times New Roman" w:cs="Times New Roman"/>
          <w:bCs/>
          <w:i/>
          <w:sz w:val="24"/>
          <w:szCs w:val="24"/>
          <w:lang w:eastAsia="zh-CN" w:bidi="hi-IN"/>
        </w:rPr>
        <w:t>późn</w:t>
      </w:r>
      <w:proofErr w:type="spellEnd"/>
      <w:r w:rsidRPr="009B0DF4">
        <w:rPr>
          <w:rFonts w:ascii="Times New Roman" w:eastAsia="Palatino Linotype" w:hAnsi="Times New Roman" w:cs="Times New Roman"/>
          <w:bCs/>
          <w:i/>
          <w:sz w:val="24"/>
          <w:szCs w:val="24"/>
          <w:lang w:eastAsia="zh-CN" w:bidi="hi-IN"/>
        </w:rPr>
        <w:t>. zm.)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555C7F" w:rsidRPr="00F855FB" w:rsidRDefault="009B0DF4" w:rsidP="00555C7F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DF4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- na nieprawidłowy sposób podania informacji o wartości o</w:t>
      </w:r>
      <w:r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dżywczej</w:t>
      </w:r>
      <w:r w:rsidR="00DA7C07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 tj. niezachowanie właściwej kolejności elementów (białko, węglowodany, tłuszcz) i pominięcie obowiązkowych składników odżywczych tj. kwasy tłuszczowe nasycone, cukry oraz sól</w:t>
      </w:r>
      <w:r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, co stanowi naruszenie przepisów</w:t>
      </w:r>
      <w:r w:rsidRPr="009B0DF4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 art. 30 ust. 1 pkt b), art. 36 ust.1 w związku z Załącznikiem XV</w:t>
      </w:r>
      <w:r w:rsidRPr="009B0DF4">
        <w:rPr>
          <w:rFonts w:ascii="Times New Roman" w:eastAsia="Palatino Linotyp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555C7F" w:rsidRPr="00F855FB">
        <w:rPr>
          <w:rFonts w:ascii="Times New Roman" w:eastAsia="Arial Unicode MS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Rozporządzenia Parlamentu Europejskiego i Rady (WE) nr 1169/2011 z dnia 25 października 2011 r. </w:t>
      </w:r>
      <w:r w:rsidR="00555C7F" w:rsidRPr="00F855FB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w sprawie przekazywania konsumentom informacji na temat żywności, zmiany rozporządzeń Parlamentu Europejskiego i Rady (WE) nr 1924/2006 i (WE) nr 1925/2006 oraz uchylenia dyrektywy Komisji 87/250/EWG, dyrektywy Rady 90/496/EWG, dyrektywy Komisji 1999/10/WE, dyrektywy 2000/13/WE Parlamentu Europejskiego i Rady</w:t>
      </w:r>
      <w:r w:rsidR="0016307E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, dyrektyw Komisji 2002/67/WE i </w:t>
      </w:r>
      <w:r w:rsidR="00555C7F" w:rsidRPr="00F855FB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2008/5/WE oraz rozporządzenia Komisji (WE) nr 608/2004</w:t>
      </w:r>
      <w:r w:rsidR="00555C7F" w:rsidRPr="00F855F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</w:t>
      </w:r>
      <w:r w:rsidR="00555C7F" w:rsidRPr="00F855F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(Dz. U. UE L 304 z 22.11.2011, s. 18, z </w:t>
      </w:r>
      <w:proofErr w:type="spellStart"/>
      <w:r w:rsidR="00555C7F" w:rsidRPr="00F855F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późn</w:t>
      </w:r>
      <w:proofErr w:type="spellEnd"/>
      <w:r w:rsidR="00555C7F" w:rsidRPr="00F855F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. zm.)</w:t>
      </w:r>
      <w:r w:rsidR="00555C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 zwanego dalej ”rozporządzeniem 1169/2011”.</w:t>
      </w:r>
    </w:p>
    <w:p w:rsidR="00CC0500" w:rsidRPr="00CC0500" w:rsidRDefault="00CC0500" w:rsidP="00CC0500">
      <w:pPr>
        <w:suppressAutoHyphens/>
        <w:spacing w:before="113" w:after="113" w:line="360" w:lineRule="auto"/>
        <w:jc w:val="both"/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CC0500" w:rsidRDefault="00CC0500" w:rsidP="00731AB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</w:t>
      </w:r>
      <w:r w:rsidR="009B0DF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rotokole kontroli nr ŻG.8361.87.2017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który został podpisany przez osobę pisemnie upoważnioną do reprezentowania k</w:t>
      </w:r>
      <w:r w:rsidR="009B0DF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ontrolowanego w dniu 7 kwietnia 2017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r. Przedsiębiorca </w:t>
      </w:r>
      <w:r w:rsidR="00A27D5B">
        <w:rPr>
          <w:rFonts w:ascii="Times New Roman" w:hAnsi="Times New Roman" w:cs="Times New Roman"/>
          <w:b/>
          <w:bCs/>
        </w:rPr>
        <w:t>AJEX – POL Sp. z o. </w:t>
      </w:r>
      <w:r w:rsidR="00731AB9">
        <w:rPr>
          <w:rFonts w:ascii="Times New Roman" w:hAnsi="Times New Roman" w:cs="Times New Roman"/>
          <w:b/>
          <w:bCs/>
        </w:rPr>
        <w:t xml:space="preserve">o. </w:t>
      </w:r>
      <w:r w:rsidR="00731AB9" w:rsidRPr="003F253D">
        <w:rPr>
          <w:rFonts w:ascii="Times New Roman" w:hAnsi="Times New Roman" w:cs="Times New Roman"/>
          <w:bCs/>
        </w:rPr>
        <w:t>z siedzibą w</w:t>
      </w:r>
      <w:r w:rsidR="00731AB9">
        <w:rPr>
          <w:rFonts w:ascii="Times New Roman" w:hAnsi="Times New Roman" w:cs="Times New Roman"/>
          <w:b/>
          <w:bCs/>
        </w:rPr>
        <w:t xml:space="preserve"> </w:t>
      </w:r>
      <w:r w:rsidR="00731AB9">
        <w:rPr>
          <w:rFonts w:ascii="Times New Roman" w:hAnsi="Times New Roman" w:cs="Times New Roman"/>
          <w:bCs/>
        </w:rPr>
        <w:t>Częstochowie</w:t>
      </w: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 20 ust. 2 </w:t>
      </w:r>
      <w:r w:rsidRPr="00CC0500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, w dniu podpisania protokołu bądź pisemnie w terminie 7 dni od dnia przedstawienia protokołu do podpisu - nie zgłosił uwag i zastrzeżeń do sporządzonego protokołu kontroli.</w:t>
      </w:r>
    </w:p>
    <w:p w:rsidR="00CC0500" w:rsidRDefault="00CC0500" w:rsidP="00CC050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ab/>
      </w:r>
      <w:r w:rsidRPr="00CC0500">
        <w:rPr>
          <w:rFonts w:ascii="Times New Roman" w:eastAsia="Batang" w:hAnsi="Times New Roman" w:cs="Times New Roman"/>
          <w:sz w:val="24"/>
          <w:szCs w:val="24"/>
        </w:rPr>
        <w:t>Badania laboratoryjne pobranych próbek</w:t>
      </w:r>
      <w:r w:rsidRPr="00CC0500">
        <w:rPr>
          <w:rFonts w:ascii="Times New Roman" w:eastAsia="Palatino Linotype" w:hAnsi="Times New Roman" w:cs="Times New Roman"/>
          <w:bCs/>
          <w:sz w:val="24"/>
          <w:szCs w:val="24"/>
        </w:rPr>
        <w:t xml:space="preserve">, </w:t>
      </w:r>
      <w:r w:rsidRPr="00CC0500">
        <w:rPr>
          <w:rFonts w:ascii="Times New Roman" w:eastAsia="Batang" w:hAnsi="Times New Roman" w:cs="Times New Roman"/>
          <w:sz w:val="24"/>
          <w:szCs w:val="24"/>
        </w:rPr>
        <w:t xml:space="preserve">przeprowadzone w Laboratorium </w:t>
      </w:r>
      <w:proofErr w:type="spellStart"/>
      <w:r w:rsidRPr="00CC0500">
        <w:rPr>
          <w:rFonts w:ascii="Times New Roman" w:eastAsia="Batang" w:hAnsi="Times New Roman" w:cs="Times New Roman"/>
          <w:sz w:val="24"/>
          <w:szCs w:val="24"/>
        </w:rPr>
        <w:t>Kontrolno</w:t>
      </w:r>
      <w:proofErr w:type="spellEnd"/>
      <w:r w:rsidRPr="00CC0500">
        <w:rPr>
          <w:rFonts w:ascii="Times New Roman" w:eastAsia="Batang" w:hAnsi="Times New Roman" w:cs="Times New Roman"/>
          <w:sz w:val="24"/>
          <w:szCs w:val="24"/>
        </w:rPr>
        <w:t xml:space="preserve"> – Analitycznym Urzędu Ochrony Konkurencji i Konsumentów z siedzibą w Kielcach wykazały:</w:t>
      </w:r>
    </w:p>
    <w:p w:rsidR="00555C7F" w:rsidRPr="00555C7F" w:rsidRDefault="00731AB9" w:rsidP="00555C7F">
      <w:pPr>
        <w:pStyle w:val="Akapitzlist"/>
        <w:numPr>
          <w:ilvl w:val="0"/>
          <w:numId w:val="8"/>
        </w:numPr>
        <w:tabs>
          <w:tab w:val="left" w:pos="567"/>
        </w:tabs>
        <w:snapToGrid w:val="0"/>
        <w:spacing w:before="113" w:after="113" w:line="360" w:lineRule="auto"/>
        <w:ind w:left="0" w:hanging="11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55C7F">
        <w:rPr>
          <w:rFonts w:ascii="Times New Roman" w:eastAsia="Batang" w:hAnsi="Times New Roman" w:cs="Times New Roman"/>
          <w:sz w:val="24"/>
          <w:szCs w:val="24"/>
        </w:rPr>
        <w:t xml:space="preserve">Badana próbka ryby </w:t>
      </w:r>
      <w:r w:rsidRPr="00555C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Mintaj filety (</w:t>
      </w:r>
      <w:proofErr w:type="spellStart"/>
      <w:r w:rsidRPr="00555C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Theragra</w:t>
      </w:r>
      <w:proofErr w:type="spellEnd"/>
      <w:r w:rsidRPr="00555C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55C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chalcogramma</w:t>
      </w:r>
      <w:proofErr w:type="spellEnd"/>
      <w:r w:rsidRPr="00555C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) bez skóry, indywidualnie mrożone, glazurowane, z dodaną wodą,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55C7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„TRITON POLAND”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zawartość glazury 35%</w:t>
      </w:r>
      <w:r w:rsid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:</w:t>
      </w:r>
    </w:p>
    <w:p w:rsidR="00A27D5B" w:rsidRDefault="00F855FB" w:rsidP="00555C7F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731AB9"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porównaniu z wymaganiami określonymi w oznakowaniu stwierdzono wyższą zawartość glazury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(wynik badania 41% ±4</w:t>
      </w:r>
      <w:r w:rsidR="00C8271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wartość zgodnie z oznakowaniem max 35%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)</w:t>
      </w:r>
      <w:r w:rsidR="00A27D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;</w:t>
      </w:r>
    </w:p>
    <w:p w:rsidR="00555C7F" w:rsidRDefault="00555C7F" w:rsidP="00555C7F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- </w:t>
      </w:r>
      <w:r w:rsidR="00F855FB"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ocenie organoleptycznej stwierdzono: osłabioną, zbyt miękką i mazistą teksturę, wyraźnie osłabiony smak, niezachowaną, gąbczastą i rozpada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jącą się teksturę po ugotowaniu</w:t>
      </w:r>
      <w:r w:rsidR="00A27D5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:rsidR="00A27D5B" w:rsidRDefault="00A27D5B" w:rsidP="00555C7F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55C7F" w:rsidRDefault="00CC0500" w:rsidP="00555C7F">
      <w:pPr>
        <w:pStyle w:val="Akapitzlist"/>
        <w:numPr>
          <w:ilvl w:val="0"/>
          <w:numId w:val="8"/>
        </w:numPr>
        <w:tabs>
          <w:tab w:val="left" w:pos="567"/>
        </w:tabs>
        <w:snapToGrid w:val="0"/>
        <w:spacing w:before="113" w:after="113" w:line="360" w:lineRule="auto"/>
        <w:ind w:left="0" w:hanging="1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0500">
        <w:rPr>
          <w:rFonts w:ascii="Times New Roman" w:eastAsia="Batang" w:hAnsi="Times New Roman" w:cs="Times New Roman"/>
          <w:sz w:val="24"/>
          <w:szCs w:val="24"/>
        </w:rPr>
        <w:t>Badana próbka</w:t>
      </w:r>
      <w:r w:rsidR="00555C7F">
        <w:rPr>
          <w:rFonts w:ascii="Times New Roman" w:eastAsia="Batang" w:hAnsi="Times New Roman" w:cs="Times New Roman"/>
          <w:sz w:val="24"/>
          <w:szCs w:val="24"/>
        </w:rPr>
        <w:t xml:space="preserve"> ryby </w:t>
      </w:r>
      <w:proofErr w:type="spellStart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żółtopłetwa</w:t>
      </w:r>
      <w:proofErr w:type="spellEnd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filety bez skóry z dodaną wodą, mrożone, glazurowane IQF (</w:t>
      </w:r>
      <w:proofErr w:type="spellStart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Limanda</w:t>
      </w:r>
      <w:proofErr w:type="spellEnd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aspera</w:t>
      </w:r>
      <w:proofErr w:type="spellEnd"/>
      <w:r w:rsidR="00555C7F"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="00555C7F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:</w:t>
      </w:r>
    </w:p>
    <w:p w:rsidR="00555C7F" w:rsidRDefault="00555C7F" w:rsidP="00555C7F">
      <w:pPr>
        <w:tabs>
          <w:tab w:val="left" w:pos="567"/>
        </w:tabs>
        <w:snapToGrid w:val="0"/>
        <w:spacing w:before="113" w:after="113" w:line="360" w:lineRule="auto"/>
        <w:jc w:val="both"/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porównaniu z wymaganiami określonymi w oznakowaniu stwierdzono wyższą zawartość glazury (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wynik badania 42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% ±4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wartość zgodnie z oznakowaniem, wg wyliczenia 30%</w:t>
      </w:r>
      <w:r w:rsidR="00A27D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);</w:t>
      </w:r>
    </w:p>
    <w:p w:rsidR="007E7DBA" w:rsidRDefault="00CF6900" w:rsidP="00CF6900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 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ocenie organoleptycznej stwierdzono: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lekko osłabiona sprężystość tkanki mięsnej oraz obec</w:t>
      </w:r>
      <w:r w:rsidR="00A27D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ny obfity wyciek po rozmrożeniu.</w:t>
      </w:r>
    </w:p>
    <w:p w:rsidR="00A27D5B" w:rsidRDefault="00A27D5B" w:rsidP="00CF6900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E7DBA" w:rsidRPr="007E7DBA" w:rsidRDefault="007E7DBA" w:rsidP="007E7DBA">
      <w:pPr>
        <w:pStyle w:val="Akapitzlist"/>
        <w:numPr>
          <w:ilvl w:val="0"/>
          <w:numId w:val="8"/>
        </w:numPr>
        <w:tabs>
          <w:tab w:val="left" w:pos="567"/>
        </w:tabs>
        <w:snapToGrid w:val="0"/>
        <w:spacing w:before="113" w:after="113" w:line="360" w:lineRule="auto"/>
        <w:ind w:left="0" w:hanging="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Nototenia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falklandzka tusze (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Patagonotothen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 </w:t>
      </w:r>
      <w:proofErr w:type="spellStart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Ramasayi</w:t>
      </w:r>
      <w:proofErr w:type="spellEnd"/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>)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 </w:t>
      </w:r>
      <w:r w:rsidRPr="00B003E1"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glazurowana, </w:t>
      </w:r>
      <w:r w:rsidRPr="00B003E1"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 xml:space="preserve">rozmiar ryby 100 – 300g, </w:t>
      </w:r>
      <w:r>
        <w:rPr>
          <w:rFonts w:ascii="Times New Roman" w:eastAsia="Palatino Linotype" w:hAnsi="Times New Roman" w:cs="Times New Roman"/>
          <w:iCs/>
          <w:kern w:val="2"/>
          <w:sz w:val="24"/>
          <w:szCs w:val="21"/>
          <w:lang w:eastAsia="zh-CN" w:bidi="hi-IN"/>
        </w:rPr>
        <w:t>zawartość glazury 20%:</w:t>
      </w:r>
    </w:p>
    <w:p w:rsidR="00A27D5B" w:rsidRDefault="007E7DBA" w:rsidP="007E7DBA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Palatino Linotype" w:hAnsi="Times New Roman" w:cs="Times New Roman"/>
          <w:b/>
          <w:iCs/>
          <w:kern w:val="2"/>
          <w:sz w:val="24"/>
          <w:szCs w:val="21"/>
          <w:lang w:eastAsia="zh-CN" w:bidi="hi-IN"/>
        </w:rPr>
        <w:t xml:space="preserve">- 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porównaniu z wymaganiami określonymi w oznakowaniu stwierdzono wyższą zawartość glazury (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wynik badania 28</w:t>
      </w:r>
      <w:r w:rsidRPr="00555C7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% ±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3, wartość zgodnie z oznakowaniem 20%</w:t>
      </w:r>
      <w:r w:rsidR="00A27D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);</w:t>
      </w:r>
    </w:p>
    <w:p w:rsidR="007E7DBA" w:rsidRDefault="007E7DBA" w:rsidP="007E7DBA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- próbka wykazuje właściwe cechy organoleptyczne;</w:t>
      </w:r>
    </w:p>
    <w:p w:rsidR="00CF6900" w:rsidRPr="004B65BE" w:rsidRDefault="007E7DBA" w:rsidP="004B65BE">
      <w:pPr>
        <w:pStyle w:val="Akapitzlist"/>
        <w:tabs>
          <w:tab w:val="left" w:pos="567"/>
        </w:tabs>
        <w:snapToGrid w:val="0"/>
        <w:spacing w:before="113" w:after="113" w:line="36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- w badanej próbce nie stwierdzono obecności związków fosforu tj. E 450(iii), E 451(i), E 452(i).</w:t>
      </w:r>
    </w:p>
    <w:p w:rsidR="00CC0500" w:rsidRDefault="00CC0500" w:rsidP="00CC0500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Powyższe zostało udokumentowane w sprawozdaniach z badań </w:t>
      </w:r>
      <w:r w:rsidR="004B65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– odpowiednio - nr 101 z dnia 19 kwietnia 2017r., nr 10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 z dnia </w:t>
      </w:r>
      <w:r w:rsidR="004B65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z 19 kwietnia 2017r. oraz nr 103 z dnia 20 kwietnia 2017r.</w:t>
      </w:r>
    </w:p>
    <w:p w:rsidR="0073028D" w:rsidRDefault="00707852" w:rsidP="002C0AE3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Przeprowadzone badania laboratoryjne </w:t>
      </w:r>
      <w:r w:rsidR="00B269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dają podstawę do stwierdzenia, że ww.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parti</w:t>
      </w:r>
      <w:r w:rsidR="006E264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e ryb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nie spełniają wymagań jakości handlowej określonych w:</w:t>
      </w:r>
    </w:p>
    <w:p w:rsidR="006E2643" w:rsidRDefault="00707852" w:rsidP="006E2643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 </w:t>
      </w:r>
      <w:r w:rsidRPr="00A27D5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art. 7 ust. 1. pkt. a)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rozporządzenia 1169/2011, </w:t>
      </w:r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 xml:space="preserve">z uwagi na wykazaną </w:t>
      </w:r>
      <w:r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 xml:space="preserve">wyższą </w:t>
      </w:r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 xml:space="preserve">zawartość glazury, dot. 3 ww. partii ryb (mintaj, </w:t>
      </w:r>
      <w:proofErr w:type="spellStart"/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>limanda</w:t>
      </w:r>
      <w:proofErr w:type="spellEnd"/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 xml:space="preserve">, </w:t>
      </w:r>
      <w:proofErr w:type="spellStart"/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>nototenia</w:t>
      </w:r>
      <w:proofErr w:type="spellEnd"/>
      <w:r w:rsidRPr="00707852">
        <w:rPr>
          <w:rStyle w:val="Znakiprzypiswdolnych"/>
          <w:rFonts w:ascii="Times New Roman" w:eastAsia="Arial Unicode MS" w:hAnsi="Times New Roman" w:cs="Times New Roman"/>
          <w:color w:val="000000"/>
          <w:vertAlign w:val="baseline"/>
        </w:rPr>
        <w:t>);</w:t>
      </w:r>
    </w:p>
    <w:p w:rsidR="00A27D5B" w:rsidRPr="006E2643" w:rsidRDefault="00A27D5B" w:rsidP="006E2643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A27D5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- art. 4 </w:t>
      </w:r>
      <w:r w:rsidR="006E2643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ustawy</w:t>
      </w:r>
      <w:r w:rsidRPr="00A27D5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o jakości handlowej </w:t>
      </w:r>
      <w:r w:rsidRPr="00A27D5B"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z uwagi na wykazane niewłaściwe cechy organoleptyczne, dot. 2 ww. partii ryb (mintaj, </w:t>
      </w:r>
      <w:proofErr w:type="spellStart"/>
      <w:r w:rsidRPr="00A27D5B"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limanda</w:t>
      </w:r>
      <w:proofErr w:type="spellEnd"/>
      <w:r w:rsidRPr="00A27D5B"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)</w:t>
      </w:r>
      <w:r w:rsidR="006E2643"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.</w:t>
      </w:r>
    </w:p>
    <w:p w:rsidR="00A27D5B" w:rsidRDefault="00A27D5B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D033F" w:rsidRPr="00CC0500" w:rsidRDefault="00F42581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trybie art. 33 </w:t>
      </w:r>
      <w:r w:rsidR="00CC0500" w:rsidRPr="00CC050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ustawy o Inspekcji Handlowej</w:t>
      </w: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,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ŚWIIH skierował do kontrolowanego oraz producentów zakwestionowanych produktów wystąpienia pokontrolne informujące o stwierdzonych nieprawidłowościach, zawierające wnioski o ich usunięcie, (pisma z dnia </w:t>
      </w:r>
      <w:r w:rsidR="004B65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24.04.2017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r. do przedsiębiorców</w:t>
      </w:r>
      <w:r w:rsidR="007D5912">
        <w:rPr>
          <w:rFonts w:ascii="Times New Roman" w:hAnsi="Times New Roman" w:cs="Times New Roman"/>
          <w:sz w:val="24"/>
          <w:szCs w:val="24"/>
        </w:rPr>
        <w:t xml:space="preserve"> AJEX – POL Sp. z o. o.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do TRITON POLAND Sp. z o. o. oraz 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do NORD CAPITAL Sp. z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o. o.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). Do 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ww. pism zostały dołączone </w:t>
      </w:r>
      <w:r w:rsidR="00CC0500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sprawozdania z badań 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laboratoryjnych (do kontrolowanego </w:t>
      </w:r>
      <w:r w:rsidR="00480A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sprawozdania nr 101,102,103, do TRITON POLAND Sp. z o. o</w:t>
      </w:r>
      <w:r w:rsidR="00480A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80A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sprawozdanie nr 101 i 103, do </w:t>
      </w:r>
      <w:r w:rsidR="007D5912"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NORD CAPITAL Sp. z</w:t>
      </w:r>
      <w:r w:rsidR="007D591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o. o. nr 102).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Ponadto w piśmie do kontrolowanego przedsiębiorcy, w związku z wykazaną w drodze badań laboratoryjnych niewłaściwą jakością mrożonych ryb, ŚWIIH poinformował o możliwości złożenia wniosku o przebadanie próbek kontrolnych, wyznaczając w tym przedmiocie termin 7 dniowy liczony od momentu otrzymania pisma. Strona nie </w:t>
      </w:r>
      <w:r w:rsidR="00CD03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złożyła w tym zakresie stosownego wniosku.</w:t>
      </w:r>
    </w:p>
    <w:p w:rsidR="00896E44" w:rsidRDefault="00896E44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275D" w:rsidRDefault="00A1275D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odpowiedzi na wnioski pokontrolne przedsiębiorca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Triton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Poland Sp. z o. o. w piśmie z dnia 8 maja 2017r. (data wpływu 10 maja 2017r.)</w:t>
      </w:r>
      <w:r w:rsidR="00EA35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przedstawił następujące stanowisko:</w:t>
      </w:r>
    </w:p>
    <w:p w:rsidR="00EA3586" w:rsidRDefault="00EA3586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w odniesieniu do partii ryby mrożonej mintaj</w:t>
      </w:r>
      <w:r w:rsidR="00D67E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D67E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 konsultacjach z producentem,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stwierdzone nieprawidłowości są odosobnionymi przypadkami dotyczącymi jedynie partii produkcyjne L324; natomiast nieprawidłowości w oznakowaniu są wynikiem ludzkiego błędu, któ</w:t>
      </w:r>
      <w:r w:rsidR="006D3A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doprowadził do wykorzystania niewłaściwego, zdezaktualizowanego projektu etykiety; zamieszczenie nieprawidłowych danych nie było ceowy</w:t>
      </w:r>
      <w:r w:rsidR="001630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 działaniem, jedynie pomyłką w 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procesie produkcji etykiet;</w:t>
      </w:r>
    </w:p>
    <w:p w:rsidR="00D67E3E" w:rsidRDefault="00D67E3E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w odniesieniu do partii ryby mrożonej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nototenii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</w:t>
      </w:r>
      <w:r w:rsidR="001630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lklandzkiej, po konsultacjach z 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producentem, wykazana nieprawidłowość w przedmiocie glazury jest również odosobnionym przypadkiem dotyczącym jedynie partii TRITON/NT/11/I/2017;</w:t>
      </w:r>
    </w:p>
    <w:p w:rsidR="00D67E3E" w:rsidRDefault="00D67E3E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0B27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celu wyeliminowania wykazanych nieprawidłowości, przedsiębiorca </w:t>
      </w:r>
      <w:proofErr w:type="spellStart"/>
      <w:r w:rsidR="001630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Triton</w:t>
      </w:r>
      <w:proofErr w:type="spellEnd"/>
      <w:r w:rsidR="001630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Poland Sp. z </w:t>
      </w:r>
      <w:r w:rsidR="003A0F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o.o. </w:t>
      </w:r>
      <w:r w:rsidR="000B27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zobowiązuje się do poprawy oznaczeń wprowadzonych na rynek produktów.</w:t>
      </w:r>
    </w:p>
    <w:p w:rsidR="000B2788" w:rsidRDefault="000B2788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A3586" w:rsidRDefault="003A0FB3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0B27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Przedsiębiorca </w:t>
      </w:r>
      <w:proofErr w:type="spellStart"/>
      <w:r w:rsidR="000B27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Nord</w:t>
      </w:r>
      <w:proofErr w:type="spellEnd"/>
      <w:r w:rsidR="000B27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Capital Sp. z o. o. w piśmie z dnia 5 maja 2017r. (data wpływu 12 maja 2017r.)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oświadczył, że wyniki przeprowadzonej analizy organoleptycznej ryby mrożonej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limandy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są zgodne z wymaganiami w specyfikacji surowca. Mrożony surowiec rybny z dodana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wodą do wnętrza tkanek z polifosforanami, po rozmrożeniu różni się organoleptycznie od surowca bez dodatku wody. Wg przedsiębiorcy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Nord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Capital Sp. z o. o. oczywiste jest, że  tkanka mięsna po rozmrożeniu surowca zawierającego polifosforany zawsze będzie lekko osłabiona, a wyciek bardziej obfity. Wobec </w:t>
      </w:r>
      <w:r w:rsidR="006F70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powyższego, zwrócił się z prośba o przebadanie próbki kontrolnej</w:t>
      </w:r>
      <w:r w:rsidR="005715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kierunku ponownego zbadania zawartości glazury.</w:t>
      </w:r>
    </w:p>
    <w:p w:rsidR="005715AC" w:rsidRDefault="005715AC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715AC" w:rsidRDefault="005715AC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odpowiedzi na wniosek przedsiębiorcy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Nord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Capital Sp. z o. o., ŚWIIH poinformował, że w przedmiotowym postepowaniu jedynie kontrolowany przedsiębiorca posiada prawo do zbadania próbki kontrolnej zakwestionowanej partii ryby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limandy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 uwagi na brak takiego wniosku od przedsiębiorcy AJEX –POL Sp. z o. o. wykonanie takiego badania jest niemożliwe. Ponadt</w:t>
      </w:r>
      <w:r w:rsidR="00DB45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ŚWIIH zaznaczył, że bez względu na zastosowana technologię produkcji konsument powinien otrzymać produkt o właściwej jakości handlowej.</w:t>
      </w:r>
    </w:p>
    <w:p w:rsidR="00B92228" w:rsidRDefault="00B92228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Na wnioski pokontrolne również odpowiedział przeds</w:t>
      </w:r>
      <w:r w:rsidR="00525A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iębiorca AJEX-POL Sp. z o.o.. W 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piśmie z dnia 9 maja 2017r. (data wpływu 13 maja 2017r.) oświadczył, że poinformował dostawców zakwestionowanych partii ryb o wykazanych nieprawidłowościach w zakresie jakości handlowej oraz oznakowania. Strona przekazała też informacje, że obecnie trwają uzgodnienia co do odbioru zakwestionowanych partii ryb przez dostawców oraz wystawienia dokumentów korygujących</w:t>
      </w:r>
      <w:r w:rsidR="00E51A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oraz że rozważa możliwość zakończenia współpracy z dostawcami w przypadku braku parametrów jakościowych oraz właściwego znakowania towarów.</w:t>
      </w:r>
    </w:p>
    <w:p w:rsidR="005715AC" w:rsidRDefault="005715AC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82358" w:rsidRDefault="00CC0500" w:rsidP="00E51AD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Biorąc pod uwagę powyższe, ŚWIIH pismem z dnia </w:t>
      </w:r>
      <w:r w:rsidR="00E51A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15 maja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2017r. zawiadomił przedsiębiorcę</w:t>
      </w:r>
      <w:r w:rsidR="00F823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AJEX-POL Sp. z o. o. 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 wszczęciu postępowania administracyjnego w celu wymierzenia kary pieniężnej określonej na zasadach pr</w:t>
      </w:r>
      <w:r w:rsidR="00F823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zyjętych w art. 40a ust. 1 pkt 4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 tytułu wprowadzenia do obrotu handlowego produktów niespełniających wymagań jakości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handlowej </w:t>
      </w:r>
      <w:r w:rsidR="00F823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noszących znamiona zafałszowania.</w:t>
      </w:r>
    </w:p>
    <w:p w:rsidR="00CC0500" w:rsidRPr="00CC0500" w:rsidRDefault="00CC0500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Kontrolowany przedsiębiorca został również poinformowany o przysługującym mu prawie wypowiadania się co do zebranych w sprawie dowodów i materiałów oraz o możliwości zapoznania się z aktami sprawy. Strona została wezwana także do złożenia oświadczenia dotyczącego wysokości osiąganych obrotów oraz przychodu w ostatnim roku rozliczeniowym. Przedmiotowe pismo zostało odebrane przez p</w:t>
      </w:r>
      <w:r w:rsidR="00F823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rzedsiębiorcę w dniu 22 maja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2017r.</w:t>
      </w:r>
    </w:p>
    <w:p w:rsidR="00CC0500" w:rsidRPr="00CC0500" w:rsidRDefault="00CC0500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525A2C" w:rsidRDefault="00CC0500" w:rsidP="00CC0500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Strona </w:t>
      </w:r>
      <w:r w:rsidR="0077261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nie 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skorzystała z przysługujących jej praw</w:t>
      </w:r>
      <w:r w:rsidR="0077261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, w piśmie z dnia 29 maja 2017r. (data wpływu) 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złożyła </w:t>
      </w:r>
      <w:r w:rsidR="0077261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jedynie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oświadczenie co do wysokości osiągniętych obrotów </w:t>
      </w:r>
      <w:r w:rsidR="0077261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i przychodu w 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ostatnim roku rozlic</w:t>
      </w:r>
      <w:r w:rsidR="0077261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zeniowym.</w:t>
      </w:r>
    </w:p>
    <w:p w:rsidR="00336EE0" w:rsidRDefault="00CC0500" w:rsidP="00895B6F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Świętokrzyski Wojewódzki Inspektor Inspekcji Handlowej ustalił i stwierdził:</w:t>
      </w:r>
    </w:p>
    <w:p w:rsidR="00BC55C1" w:rsidRDefault="00CC0500" w:rsidP="00BC55C1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CC0500" w:rsidRPr="00895B6F" w:rsidRDefault="00CC0500" w:rsidP="00CC05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CC0500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CC050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CC0500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CC05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jeżeli w przepisach o jakości handlowej zostały określone takie wymagania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</w:t>
      </w:r>
      <w:r w:rsidRPr="00895B6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spełnienie </w:t>
      </w:r>
      <w:r w:rsidRPr="00895B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895B6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</w:p>
    <w:p w:rsidR="00CC0500" w:rsidRDefault="00CC0500" w:rsidP="00CC05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Jak wynika z przepisu </w:t>
      </w:r>
      <w:r w:rsidRPr="00CC050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CC0500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CC05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CC050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625186" w:rsidRPr="000A2799" w:rsidRDefault="00625186" w:rsidP="006251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Natomiast zgodnie z art. 3 pkt 10 ww. ustawy - </w:t>
      </w:r>
      <w:r w:rsidRPr="000A2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625186" w:rsidRPr="000A2799" w:rsidRDefault="00625186" w:rsidP="0062518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625186" w:rsidRPr="000A2799" w:rsidRDefault="00625186" w:rsidP="00625186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625186" w:rsidRPr="000A2799" w:rsidRDefault="00625186" w:rsidP="00625186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Batang" w:hAnsi="Times New Roman" w:cs="Times New Roman"/>
          <w:b/>
          <w:kern w:val="1"/>
          <w:sz w:val="24"/>
          <w:szCs w:val="24"/>
          <w:lang w:eastAsia="zh-CN" w:bidi="hi-IN"/>
        </w:rPr>
        <w:t xml:space="preserve">c) </w:t>
      </w:r>
      <w:r w:rsidRPr="000A2799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w oznakowaniu podano niezgodne z prawdą dane w zakresie składu, </w:t>
      </w: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625186" w:rsidRPr="00CC0500" w:rsidRDefault="00895B6F" w:rsidP="00CC05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:rsidR="00D04514" w:rsidRDefault="00CC0500" w:rsidP="00D045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rozporządzeniu 1169/2011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045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95B6F" w:rsidRPr="00D045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ozporządzenie</w:t>
      </w:r>
      <w:r w:rsidR="00D045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to</w:t>
      </w:r>
      <w:r w:rsidR="00895B6F"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podstawę zapewnienia wysokiego poziomu ochrony konsumentów w zakresie informacji na temat żywności, przy </w:t>
      </w:r>
      <w:r w:rsidR="00895B6F"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uwzględnieniu różnic percepcji ze strony konsumentów </w:t>
      </w:r>
      <w:r w:rsidR="00D04514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potrzeb informacyjnych, z </w:t>
      </w:r>
      <w:r w:rsidR="00895B6F"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zapewnieniem płynnego funkcjonowania rynku wewnętrznego.</w:t>
      </w:r>
      <w:r w:rsidR="00D0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95B6F"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ogólne zasady, wymogi i 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 zakresie informacji.</w:t>
      </w:r>
    </w:p>
    <w:p w:rsidR="00CC0500" w:rsidRPr="00CC0500" w:rsidRDefault="00CC0500" w:rsidP="00CC05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</w:t>
      </w:r>
      <w:r w:rsidRPr="00CC0500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tego rozporządzenia:</w:t>
      </w:r>
    </w:p>
    <w:p w:rsidR="00CC0500" w:rsidRPr="00CC0500" w:rsidRDefault="00CC0500" w:rsidP="00CC0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na temat żywności nie mogą wprowadzać w błąd, w szczególności: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C0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do właściwości środka spożywczego, a w szczególności co do jego charakteru, tożsamości, właściwości, składu, ilości, trwałości, kraju lub miejsca pochodzenia, metod wytwarzania lub produkcji;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przez przypisywanie środkowi spożywczemu działania lub właściwości, których on nie posiada;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przez sugerowanie, że środek spożywczy ma szczególne właściwości, gdy w rzeczywistości wszystkie podobne środki spożywcze mają takie właściwości, zwłaszcza przez szczególne podkreślanie obecności lub braku określonych składników lub składników odżywczych;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przez sugerowanie poprzez wygląd, opis lub prezentacje graficzne, że chodzi o określony środek spożywczy lub składnik, mimo że w rzeczywistości komponent lub składnik naturalnie obecny lub zwykle stosowany w danym środku spożywczym został zastąpiony innym komponentem lub innym składnikiem.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 na temat żywności muszą być rzetelne, jasne i łatwe do zrozumienia dla konsumenta.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3. Z zastrzeżeniem odstępstw przewidzianych w prawie Unii mającym zastosowanie do naturalnych wód mineralnych i żywności specjalnego przeznaczenia żywieniowego informacje na temat żywności nie mogą przypisywać jakiemukolwiek środkowi spożywczemu właściwości zapobiegania chorobom lub leczenia chorób ludzi bądź też odwoływać się do takich właściwości.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4. Ust. 1, 2 i 3 mają również zastosowanie do:</w:t>
      </w:r>
    </w:p>
    <w:p w:rsidR="00CC0500" w:rsidRP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reklamy;</w:t>
      </w:r>
    </w:p>
    <w:p w:rsidR="00CC0500" w:rsidRDefault="00CC0500" w:rsidP="00D04514">
      <w:pPr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prezentacji środków spożywczych, w szczególności kształtu, wyglądu lub opakowania, zastosowanych materiałów opakowaniowych, sposobu ustawienia oraz otoczenia, w jakim są pokazywane</w:t>
      </w:r>
      <w:r w:rsidRPr="00CC0500">
        <w:rPr>
          <w:rFonts w:ascii="Times New Roman" w:hAnsi="Times New Roman" w:cs="Times New Roman"/>
          <w:sz w:val="24"/>
          <w:szCs w:val="24"/>
        </w:rPr>
        <w:t>).</w:t>
      </w:r>
    </w:p>
    <w:p w:rsidR="00156082" w:rsidRDefault="00C765EF" w:rsidP="00D04514">
      <w:pPr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przedmiotowej sprawie badania laboratoryjne 3 partii mrożonych ryb wykazały wyższą zawartość glazury w porównaniu z deklaracją w ich oznakowaniu. W przypadku mintaja zawyżenie wynosiło 6%(±4), 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 (±4)</w:t>
      </w:r>
      <w:r w:rsidR="008A13E3">
        <w:rPr>
          <w:rFonts w:ascii="Times New Roman" w:hAnsi="Times New Roman" w:cs="Times New Roman"/>
          <w:sz w:val="24"/>
          <w:szCs w:val="24"/>
        </w:rPr>
        <w:t xml:space="preserve"> a w przypadku </w:t>
      </w:r>
      <w:proofErr w:type="spellStart"/>
      <w:r w:rsidR="008A13E3">
        <w:rPr>
          <w:rFonts w:ascii="Times New Roman" w:hAnsi="Times New Roman" w:cs="Times New Roman"/>
          <w:sz w:val="24"/>
          <w:szCs w:val="24"/>
        </w:rPr>
        <w:t>nototenii</w:t>
      </w:r>
      <w:proofErr w:type="spellEnd"/>
      <w:r w:rsidR="008A13E3">
        <w:rPr>
          <w:rFonts w:ascii="Times New Roman" w:hAnsi="Times New Roman" w:cs="Times New Roman"/>
          <w:sz w:val="24"/>
          <w:szCs w:val="24"/>
        </w:rPr>
        <w:t xml:space="preserve"> 8%(±3). Takie oznakowanie niewątpliwie wprowadza konsumentów w błąd co do rzeczywistego składu przedmiotowych ryb. Zawyżenie zawartości glazury stanowi w efekcie zaniżenie faktycznej masy ryby bez glazury, co należy rozpatrywać w kontekście działania, które w istotny sposób narusza ekonomiczne interesy konsumentów, gdyż zamiast mięsa ryby otrzymują oni wodę. Powyższe świadczy o zafałszowaniu </w:t>
      </w:r>
      <w:r w:rsidR="00E3605B">
        <w:rPr>
          <w:rFonts w:ascii="Times New Roman" w:hAnsi="Times New Roman" w:cs="Times New Roman"/>
          <w:sz w:val="24"/>
          <w:szCs w:val="24"/>
        </w:rPr>
        <w:t>rzeczonych 3 partii ryb</w:t>
      </w:r>
      <w:r w:rsidR="00156082">
        <w:rPr>
          <w:rFonts w:ascii="Times New Roman" w:hAnsi="Times New Roman" w:cs="Times New Roman"/>
          <w:sz w:val="24"/>
          <w:szCs w:val="24"/>
        </w:rPr>
        <w:t>.</w:t>
      </w:r>
    </w:p>
    <w:p w:rsidR="00FD2EA3" w:rsidRDefault="00156082" w:rsidP="00156082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wykazane niewłaściwe cechy organoleptyczne w 2 partiach ryb (mintaj,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limanda</w:t>
      </w:r>
      <w:proofErr w:type="spellEnd"/>
      <w:r>
        <w:rPr>
          <w:rFonts w:ascii="Times New Roman" w:hAnsi="Times New Roman" w:cs="Times New Roman"/>
          <w:sz w:val="24"/>
          <w:szCs w:val="24"/>
        </w:rPr>
        <w:t>) znacznie obniżają ich jakość handlową. Konsument nabywając produkt w formie fileta w rzeczywistości nabywa rybę o niezachowanej, rozpadającej się oraz gąbczastej strukturze (po ugotowaniu</w:t>
      </w:r>
      <w:r w:rsidR="00FD2EA3">
        <w:rPr>
          <w:rFonts w:ascii="Times New Roman" w:hAnsi="Times New Roman" w:cs="Times New Roman"/>
          <w:sz w:val="24"/>
          <w:szCs w:val="24"/>
        </w:rPr>
        <w:t xml:space="preserve"> ryby mintaj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D2EA3">
        <w:rPr>
          <w:rFonts w:ascii="Times New Roman" w:hAnsi="Times New Roman" w:cs="Times New Roman"/>
          <w:sz w:val="24"/>
          <w:szCs w:val="24"/>
        </w:rPr>
        <w:t xml:space="preserve"> Natomiast w przypadku ryby mrożonej </w:t>
      </w:r>
      <w:proofErr w:type="spellStart"/>
      <w:r w:rsidR="00FD2EA3">
        <w:rPr>
          <w:rFonts w:ascii="Times New Roman" w:hAnsi="Times New Roman" w:cs="Times New Roman"/>
          <w:sz w:val="24"/>
          <w:szCs w:val="24"/>
        </w:rPr>
        <w:t>limandy</w:t>
      </w:r>
      <w:proofErr w:type="spellEnd"/>
      <w:r w:rsidR="00FD2EA3">
        <w:rPr>
          <w:rFonts w:ascii="Times New Roman" w:hAnsi="Times New Roman" w:cs="Times New Roman"/>
          <w:sz w:val="24"/>
          <w:szCs w:val="24"/>
        </w:rPr>
        <w:t>, już po rozmrożeniu struktura wykazywała osłabiona sprężystość oraz obfity wyciek. Powyższe świadczy o niewłaściwej jakości handlowej ww. 2 partii ryb.</w:t>
      </w:r>
    </w:p>
    <w:p w:rsidR="008166E2" w:rsidRDefault="00FD2EA3" w:rsidP="008166E2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jakości handlowej w zakresie oznakowania zamieszczonego</w:t>
      </w:r>
      <w:r w:rsidR="0072111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opakowaniach przedmiotowych ryb, ŚWIIH stwierdził nieprawi</w:t>
      </w:r>
      <w:r w:rsidR="0084484B">
        <w:rPr>
          <w:rFonts w:ascii="Times New Roman" w:hAnsi="Times New Roman" w:cs="Times New Roman"/>
          <w:sz w:val="24"/>
          <w:szCs w:val="24"/>
        </w:rPr>
        <w:t>dłowości  w jednej partii tj. w </w:t>
      </w:r>
      <w:r>
        <w:rPr>
          <w:rFonts w:ascii="Times New Roman" w:hAnsi="Times New Roman" w:cs="Times New Roman"/>
          <w:sz w:val="24"/>
          <w:szCs w:val="24"/>
        </w:rPr>
        <w:t>partii mintaja.</w:t>
      </w:r>
      <w:r w:rsidR="00721117">
        <w:rPr>
          <w:rFonts w:ascii="Times New Roman" w:hAnsi="Times New Roman" w:cs="Times New Roman"/>
          <w:sz w:val="24"/>
          <w:szCs w:val="24"/>
        </w:rPr>
        <w:t xml:space="preserve"> Były to nieprawidłowości odnośnie znakowania produktu wartością odżywczą oraz w zakres</w:t>
      </w:r>
      <w:r w:rsidR="00BC55C1">
        <w:rPr>
          <w:rFonts w:ascii="Times New Roman" w:hAnsi="Times New Roman" w:cs="Times New Roman"/>
          <w:sz w:val="24"/>
          <w:szCs w:val="24"/>
        </w:rPr>
        <w:t>ie informacji o obszarze połowu, uniemożliwiające dalsze przekazanie obowiązkowych informacji na temat żywności.</w:t>
      </w:r>
    </w:p>
    <w:p w:rsidR="00D04514" w:rsidRPr="003649DE" w:rsidRDefault="00D04514" w:rsidP="00D045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4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Zgodnie z artykułem 30 ust. 1 </w:t>
      </w:r>
      <w:r w:rsidRPr="001964AE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rozporządzenia 1169/2011</w:t>
      </w:r>
      <w:r w:rsidRPr="001964AE">
        <w:rPr>
          <w:rFonts w:ascii="Times New Roman" w:eastAsia="Palatino Linotype" w:hAnsi="Times New Roman" w:cs="Times New Roman"/>
          <w:i/>
          <w:color w:val="000000"/>
          <w:kern w:val="1"/>
          <w:sz w:val="24"/>
          <w:szCs w:val="24"/>
          <w:lang w:eastAsia="pl-PL"/>
        </w:rPr>
        <w:t xml:space="preserve"> </w:t>
      </w:r>
      <w:r w:rsidRPr="0019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4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obowiązkowa informacja o wartości odżywczej obejmuje następujące elementy: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energetyczna; oraz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b) ilość tłuszczu, kwasów tłuszczowych nasyconych, węglowodanów, cukrów, białka oraz soli.</w:t>
      </w:r>
    </w:p>
    <w:p w:rsidR="00D04514" w:rsidRPr="00CD6CB8" w:rsidRDefault="00D04514" w:rsidP="00D045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odpowiednich przypadkach można zamieścić -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ośrednio w pobliżu informacji o </w:t>
      </w: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odżywczej - komunikat wskazujący, że zawartość soli wynika wyłącznie z obecności naturalnie występującego sodu.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2. Treść obowiązkowej informacji o wartości odżywczej, o której mowa w ust. 1, może zostać uzupełniona informacją o ilości jednego lub większej liczby z następujących składników: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a) kwasy tłuszczowe jednonienasycone;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b) kwasy tłuszczowe wielonienasycone;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c) alkohole wielowodorotlenowe;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skrobia;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e) błonnik;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f) każda z witamin lub każdy ze składników mineralnych wymienionych w załączniku XIII część A pkt 1 i obecnych w znaczącej ilości zgodnie z jej definicją w załączniku XIII część A pkt 2.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etykietowanie żywności opakowanej zawiera obowiązkową informację o wartości odżywczej, o której mowa w ust. 1, można powtórzyć w nim następujące informacje:</w:t>
      </w:r>
    </w:p>
    <w:p w:rsidR="00D04514" w:rsidRPr="00CD6CB8" w:rsidRDefault="00D04514" w:rsidP="00D04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energetyczna; lub</w:t>
      </w:r>
    </w:p>
    <w:p w:rsidR="00D04514" w:rsidRPr="008166E2" w:rsidRDefault="00D04514" w:rsidP="00816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CB8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energetyczna oraz ilość tłuszczu, kwasów tłuszczowych nasyconych, cukrów oraz soli.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Natomiast w zakresie przepisów szczególnych, zgodnie z art. 35 ust. 1 pkt c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1379/2013 - </w:t>
      </w: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uszczerbku dla </w:t>
      </w:r>
      <w:r w:rsidRPr="00CC0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1169/2011</w:t>
      </w: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rybołówstwa i akwakultury, o których mowa w lit. a), b), c) i e) załącznika I do niniejszego </w:t>
      </w:r>
      <w:r w:rsidRPr="00CC0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</w:t>
      </w: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podlegające obrotowi w Unii, niezależnie od ich pochodzenia lub metody obrotu nimi, mogą być oferowane do sprzedaży konsumentowi finalnemu lub zakładowi żywienia zbiorowego jedynie wtedy, gdy odpowiednie </w:t>
      </w:r>
      <w:r w:rsidRPr="00CC0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oznaczenie lub etykietowanie zawiera </w:t>
      </w:r>
      <w:r w:rsidRPr="00CC0500">
        <w:rPr>
          <w:rFonts w:ascii="Times New Roman" w:hAnsi="Times New Roman" w:cs="Times New Roman"/>
          <w:b/>
          <w:sz w:val="24"/>
          <w:szCs w:val="24"/>
        </w:rPr>
        <w:t>obszar, na którym produkt został złowiony lub wyhodowany</w:t>
      </w:r>
      <w:r w:rsidRPr="00CC0500">
        <w:rPr>
          <w:rFonts w:ascii="Times New Roman" w:hAnsi="Times New Roman" w:cs="Times New Roman"/>
          <w:sz w:val="24"/>
          <w:szCs w:val="24"/>
        </w:rPr>
        <w:t>, oraz kategorię narzędzia połowowego używanego do połowów, jak określono w pierwszej kolumnie w załączniku III do niniejszego rozporządzenia.</w:t>
      </w:r>
    </w:p>
    <w:p w:rsidR="00CC0500" w:rsidRDefault="00CC0500" w:rsidP="00CC0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myśl art. 38 ust. 1 pkt a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1379/2013</w:t>
      </w:r>
      <w:r w:rsidRPr="00CC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oznaczenie obszaru połowu lub produkcji zgodnie z art. 35 ust. 1 pkt c) obejmuje w przypadku produktów rybołówstwa pochodzących z połowów na morzu - zapisaną nazwę podobszaru lub rejonu wymienionego w obszarach rybołówstwa FAO, a także nazwę takiej strefy przy zastosowaniu terminologii zrozumiałej dla konsumenta, lub mapę lub piktogram pokazujące tę strefę, lub, w drodze odstępstwa od niniejszego wymogu, w odniesieniu do produktów rybołówstwa pochodzących z połowów na wodach innych niż Atlantyk Północno-Wschodni (obszar rybołówstwa FAO 27) oraz Morze Śródziemne i Morze Czarne (obszar rybołówstwa FAO 37), wskazanie nazwy obszaru rybołówstwa FAO.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spacing w:line="360" w:lineRule="auto"/>
        <w:ind w:right="7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500">
        <w:rPr>
          <w:rFonts w:ascii="Times New Roman" w:hAnsi="Times New Roman" w:cs="Times New Roman"/>
          <w:color w:val="000000"/>
          <w:sz w:val="24"/>
          <w:szCs w:val="24"/>
        </w:rPr>
        <w:t>Analizując wyżej przytoczone przepisy prawa oraz okoliczności sprawy, w toku kontroli przedsiębiorcy</w:t>
      </w:r>
      <w:r w:rsidRPr="00CC0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E2">
        <w:rPr>
          <w:rFonts w:ascii="Times New Roman" w:hAnsi="Times New Roman" w:cs="Times New Roman"/>
          <w:sz w:val="24"/>
          <w:szCs w:val="24"/>
        </w:rPr>
        <w:t>AJEX – POL Sp. z o. o.</w:t>
      </w:r>
      <w:r w:rsidRPr="00CC0500">
        <w:rPr>
          <w:rFonts w:ascii="Times New Roman" w:hAnsi="Times New Roman" w:cs="Times New Roman"/>
          <w:color w:val="000000"/>
          <w:sz w:val="24"/>
          <w:szCs w:val="24"/>
        </w:rPr>
        <w:t xml:space="preserve"> stwierdzono ponad wszelką wąt</w:t>
      </w:r>
      <w:r w:rsidR="008166E2">
        <w:rPr>
          <w:rFonts w:ascii="Times New Roman" w:hAnsi="Times New Roman" w:cs="Times New Roman"/>
          <w:color w:val="000000"/>
          <w:sz w:val="24"/>
          <w:szCs w:val="24"/>
        </w:rPr>
        <w:t xml:space="preserve">pliwość wprowadzenie do obrotu 3 partii zafałszowanych mrożonych ryb tj.: </w:t>
      </w:r>
      <w:r w:rsidR="008166E2" w:rsidRPr="008166E2">
        <w:rPr>
          <w:rFonts w:ascii="Times New Roman" w:eastAsia="Lucida Sans Unicode" w:hAnsi="Times New Roman" w:cs="Times New Roman"/>
          <w:szCs w:val="24"/>
        </w:rPr>
        <w:t>Mintaj filety (</w:t>
      </w:r>
      <w:proofErr w:type="spellStart"/>
      <w:r w:rsidR="008166E2" w:rsidRPr="008166E2">
        <w:rPr>
          <w:rFonts w:ascii="Times New Roman" w:eastAsia="Lucida Sans Unicode" w:hAnsi="Times New Roman" w:cs="Times New Roman"/>
          <w:szCs w:val="24"/>
        </w:rPr>
        <w:t>Theragra</w:t>
      </w:r>
      <w:proofErr w:type="spellEnd"/>
      <w:r w:rsidR="008166E2" w:rsidRPr="008166E2">
        <w:rPr>
          <w:rFonts w:ascii="Times New Roman" w:eastAsia="Lucida Sans Unicode" w:hAnsi="Times New Roman" w:cs="Times New Roman"/>
          <w:szCs w:val="24"/>
        </w:rPr>
        <w:t xml:space="preserve"> </w:t>
      </w:r>
      <w:proofErr w:type="spellStart"/>
      <w:r w:rsidR="008166E2" w:rsidRPr="008166E2">
        <w:rPr>
          <w:rFonts w:ascii="Times New Roman" w:eastAsia="Lucida Sans Unicode" w:hAnsi="Times New Roman" w:cs="Times New Roman"/>
          <w:szCs w:val="24"/>
        </w:rPr>
        <w:t>chalcogramma</w:t>
      </w:r>
      <w:proofErr w:type="spellEnd"/>
      <w:r w:rsidR="008166E2" w:rsidRPr="008166E2">
        <w:rPr>
          <w:rFonts w:ascii="Times New Roman" w:eastAsia="Lucida Sans Unicode" w:hAnsi="Times New Roman" w:cs="Times New Roman"/>
          <w:szCs w:val="24"/>
        </w:rPr>
        <w:t xml:space="preserve">) bez skóry, indywidualnie mrożone, glazurowane, z dodaną wodą, </w:t>
      </w:r>
      <w:r w:rsidR="008166E2" w:rsidRPr="008166E2">
        <w:rPr>
          <w:rFonts w:ascii="Times New Roman" w:eastAsia="Lucida Sans Unicode" w:hAnsi="Times New Roman" w:cs="Times New Roman"/>
          <w:bCs/>
          <w:szCs w:val="24"/>
        </w:rPr>
        <w:t xml:space="preserve">„TRITON POLAND”, 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Limanda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 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żółtopłetwa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 filety bez skóry z dodaną wodą, mrożone, glazurowane IQF </w:t>
      </w:r>
      <w:r w:rsidR="008166E2" w:rsidRPr="008166E2">
        <w:rPr>
          <w:rFonts w:ascii="Times New Roman" w:eastAsia="Palatino Linotype" w:hAnsi="Times New Roman" w:cs="Times New Roman"/>
          <w:iCs/>
        </w:rPr>
        <w:lastRenderedPageBreak/>
        <w:t>(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Limanda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 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aspera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), 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Nototenia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 falklandzka tusze (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Patagonotothen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 xml:space="preserve"> </w:t>
      </w:r>
      <w:proofErr w:type="spellStart"/>
      <w:r w:rsidR="008166E2" w:rsidRPr="008166E2">
        <w:rPr>
          <w:rFonts w:ascii="Times New Roman" w:eastAsia="Palatino Linotype" w:hAnsi="Times New Roman" w:cs="Times New Roman"/>
          <w:iCs/>
        </w:rPr>
        <w:t>Ramasayi</w:t>
      </w:r>
      <w:proofErr w:type="spellEnd"/>
      <w:r w:rsidR="008166E2" w:rsidRPr="008166E2">
        <w:rPr>
          <w:rFonts w:ascii="Times New Roman" w:eastAsia="Palatino Linotype" w:hAnsi="Times New Roman" w:cs="Times New Roman"/>
          <w:iCs/>
        </w:rPr>
        <w:t>) glazurowana.</w:t>
      </w:r>
      <w:r w:rsidR="008166E2">
        <w:rPr>
          <w:rFonts w:ascii="Times New Roman" w:eastAsia="Palatino Linotype" w:hAnsi="Times New Roman" w:cs="Times New Roman"/>
          <w:iCs/>
        </w:rPr>
        <w:t xml:space="preserve"> Z uwagi na okoliczność, iż dwie partie z 3 zafałszowanych nie spełniały ponadto szczególnych wymag</w:t>
      </w:r>
      <w:r w:rsidR="00E73AAA">
        <w:rPr>
          <w:rFonts w:ascii="Times New Roman" w:eastAsia="Palatino Linotype" w:hAnsi="Times New Roman" w:cs="Times New Roman"/>
          <w:iCs/>
        </w:rPr>
        <w:t>ań w </w:t>
      </w:r>
      <w:r w:rsidR="006A5D8C">
        <w:rPr>
          <w:rFonts w:ascii="Times New Roman" w:eastAsia="Palatino Linotype" w:hAnsi="Times New Roman" w:cs="Times New Roman"/>
          <w:iCs/>
        </w:rPr>
        <w:t>zakresie jakości handlowej</w:t>
      </w:r>
      <w:r w:rsidR="008166E2">
        <w:rPr>
          <w:rFonts w:ascii="Times New Roman" w:eastAsia="Palatino Linotype" w:hAnsi="Times New Roman" w:cs="Times New Roman"/>
          <w:iCs/>
        </w:rPr>
        <w:t>, ŚWIIH zakwalifikował je jako zafałszowane</w:t>
      </w:r>
      <w:r w:rsidR="006A5D8C">
        <w:rPr>
          <w:rFonts w:ascii="Times New Roman" w:eastAsia="Palatino Linotype" w:hAnsi="Times New Roman" w:cs="Times New Roman"/>
          <w:iCs/>
        </w:rPr>
        <w:t>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85947" w:rsidRPr="00985947" w:rsidRDefault="00985947" w:rsidP="00985947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</w:t>
      </w:r>
      <w:r w:rsidRPr="000A279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Pr="000A2799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CC0500" w:rsidRPr="00CC0500" w:rsidRDefault="00CC0500" w:rsidP="00CC0500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00">
        <w:rPr>
          <w:rFonts w:ascii="Times New Roman" w:hAnsi="Times New Roman" w:cs="Times New Roman"/>
          <w:b/>
          <w:sz w:val="24"/>
          <w:szCs w:val="24"/>
        </w:rPr>
        <w:t>Karę pieniężną, o której mowa powyżej, wymierza w drodze decyzji, Główny Inspektor albo właściwy ze względu na miejsce przeprowadzenia kontroli wojewódzki inspektor lub wojewódzki inspektor Inspekcji Handlowej.</w:t>
      </w:r>
    </w:p>
    <w:p w:rsidR="00CC0500" w:rsidRPr="00CC0500" w:rsidRDefault="00CC0500" w:rsidP="00CC0500">
      <w:pPr>
        <w:spacing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CC0500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CC0500">
        <w:rPr>
          <w:rFonts w:ascii="Times New Roman" w:eastAsia="SimSun" w:hAnsi="Times New Roman" w:cs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Ustalając w przedmiotowej sprawie wysokość kary pieniężnej z tytułu wprowadzenia do obrotu przez przedsiębiorcę </w:t>
      </w:r>
      <w:r w:rsidR="00985947">
        <w:rPr>
          <w:rFonts w:ascii="Times New Roman" w:hAnsi="Times New Roman" w:cs="Times New Roman"/>
          <w:sz w:val="24"/>
          <w:szCs w:val="24"/>
        </w:rPr>
        <w:t>AJEX – POL Sp. z o. o.</w:t>
      </w:r>
      <w:r w:rsidRPr="00CC050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8594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–</w:t>
      </w:r>
      <w:r w:rsidRPr="00CC050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8594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 partii zafałszowanych mrożonych ryb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Świętokrzyski Wojewódzki Inspektor Inspekcji Handlowej zgodnie art. 40a ust. 5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AB0334" w:rsidRPr="002E68C1" w:rsidRDefault="00CC0500" w:rsidP="00CC0500">
      <w:pPr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</w:t>
      </w:r>
      <w:r w:rsidRPr="00CC050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="00E7753B" w:rsidRPr="00E7753B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>wysoki</w:t>
      </w:r>
      <w:r w:rsidR="00985947" w:rsidRPr="000A279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. </w:t>
      </w:r>
      <w:r w:rsidR="00985947"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Podanie w oznakowaniu produktu składu niezgodnego z prawdą </w:t>
      </w:r>
      <w:r w:rsidR="004124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bez wątpienia </w:t>
      </w:r>
      <w:r w:rsidR="00985947"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narusza interesy </w:t>
      </w:r>
      <w:r w:rsidR="0002335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konsumentów, </w:t>
      </w:r>
      <w:r w:rsidR="00985947"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wprowadza ich w błąd, co do właściwoś</w:t>
      </w:r>
      <w:r w:rsidR="0098594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ci tego produktu.</w:t>
      </w:r>
      <w:r w:rsidR="004124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następstwie </w:t>
      </w:r>
      <w:r w:rsidR="004124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</w:t>
      </w:r>
      <w:r w:rsidR="004124F3" w:rsidRPr="000A279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onsument su</w:t>
      </w:r>
      <w:r w:rsidR="004124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gerując się informacją podaną w  </w:t>
      </w:r>
      <w:r w:rsidR="0002335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oznakowaniu </w:t>
      </w:r>
      <w:r w:rsidR="004124F3" w:rsidRPr="000A279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nabywa </w:t>
      </w:r>
      <w:r w:rsidR="004124F3"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produkt niezgodny z jego oczekiwaniami</w:t>
      </w:r>
      <w:r w:rsidR="004124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84484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Z</w:t>
      </w:r>
      <w:r w:rsidR="004124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awyżona zawarto</w:t>
      </w:r>
      <w:r w:rsidR="0084484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ść glazury</w:t>
      </w:r>
      <w:r w:rsidR="004124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wynosiła </w:t>
      </w:r>
      <w:r w:rsidR="0084484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przypadku </w:t>
      </w:r>
      <w:proofErr w:type="spellStart"/>
      <w:r w:rsidR="0084484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limandy</w:t>
      </w:r>
      <w:proofErr w:type="spellEnd"/>
      <w:r w:rsidR="0084484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124F3">
        <w:rPr>
          <w:rFonts w:ascii="Times New Roman" w:hAnsi="Times New Roman" w:cs="Times New Roman"/>
          <w:sz w:val="24"/>
          <w:szCs w:val="24"/>
        </w:rPr>
        <w:t xml:space="preserve">12% (±4), </w:t>
      </w:r>
      <w:r w:rsidR="0098594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</w:t>
      </w:r>
      <w:r w:rsidR="00AB0334">
        <w:rPr>
          <w:rFonts w:ascii="Times New Roman" w:hAnsi="Times New Roman" w:cs="Times New Roman"/>
          <w:sz w:val="24"/>
          <w:szCs w:val="24"/>
        </w:rPr>
        <w:t xml:space="preserve">przypadku mintaja </w:t>
      </w:r>
      <w:r w:rsidR="00985947">
        <w:rPr>
          <w:rFonts w:ascii="Times New Roman" w:hAnsi="Times New Roman" w:cs="Times New Roman"/>
          <w:sz w:val="24"/>
          <w:szCs w:val="24"/>
        </w:rPr>
        <w:t>6%(±4</w:t>
      </w:r>
      <w:r w:rsidR="004124F3">
        <w:rPr>
          <w:rFonts w:ascii="Times New Roman" w:hAnsi="Times New Roman" w:cs="Times New Roman"/>
          <w:sz w:val="24"/>
          <w:szCs w:val="24"/>
        </w:rPr>
        <w:t xml:space="preserve">) </w:t>
      </w:r>
      <w:r w:rsidR="00985947">
        <w:rPr>
          <w:rFonts w:ascii="Times New Roman" w:hAnsi="Times New Roman" w:cs="Times New Roman"/>
          <w:sz w:val="24"/>
          <w:szCs w:val="24"/>
        </w:rPr>
        <w:t xml:space="preserve">a w przypadku </w:t>
      </w:r>
      <w:proofErr w:type="spellStart"/>
      <w:r w:rsidR="00985947">
        <w:rPr>
          <w:rFonts w:ascii="Times New Roman" w:hAnsi="Times New Roman" w:cs="Times New Roman"/>
          <w:sz w:val="24"/>
          <w:szCs w:val="24"/>
        </w:rPr>
        <w:t>nototenii</w:t>
      </w:r>
      <w:proofErr w:type="spellEnd"/>
      <w:r w:rsidR="00985947">
        <w:rPr>
          <w:rFonts w:ascii="Times New Roman" w:hAnsi="Times New Roman" w:cs="Times New Roman"/>
          <w:sz w:val="24"/>
          <w:szCs w:val="24"/>
        </w:rPr>
        <w:t xml:space="preserve"> 8%(±3)</w:t>
      </w:r>
      <w:r w:rsidR="00AB0334">
        <w:rPr>
          <w:rFonts w:ascii="Times New Roman" w:hAnsi="Times New Roman" w:cs="Times New Roman"/>
          <w:sz w:val="24"/>
          <w:szCs w:val="24"/>
        </w:rPr>
        <w:t>. Nawet po uwzględnieniu stopnia niepewności wykazana zawartość glazury nie odpowiada</w:t>
      </w:r>
      <w:r w:rsidR="00B52F10">
        <w:rPr>
          <w:rFonts w:ascii="Times New Roman" w:hAnsi="Times New Roman" w:cs="Times New Roman"/>
          <w:sz w:val="24"/>
          <w:szCs w:val="24"/>
        </w:rPr>
        <w:t>ła</w:t>
      </w:r>
      <w:r w:rsidR="00AB0334">
        <w:rPr>
          <w:rFonts w:ascii="Times New Roman" w:hAnsi="Times New Roman" w:cs="Times New Roman"/>
          <w:sz w:val="24"/>
          <w:szCs w:val="24"/>
        </w:rPr>
        <w:t xml:space="preserve"> zawartości w</w:t>
      </w:r>
      <w:r w:rsidR="00023353">
        <w:rPr>
          <w:rFonts w:ascii="Times New Roman" w:hAnsi="Times New Roman" w:cs="Times New Roman"/>
          <w:sz w:val="24"/>
          <w:szCs w:val="24"/>
        </w:rPr>
        <w:t xml:space="preserve">skazanej na opakowaniu. </w:t>
      </w:r>
      <w:r w:rsidR="00F23FD4">
        <w:rPr>
          <w:rFonts w:ascii="Times New Roman" w:hAnsi="Times New Roman" w:cs="Times New Roman"/>
          <w:sz w:val="24"/>
          <w:szCs w:val="24"/>
        </w:rPr>
        <w:t>Ponadto</w:t>
      </w:r>
      <w:r w:rsidR="00023353">
        <w:rPr>
          <w:rFonts w:ascii="Times New Roman" w:hAnsi="Times New Roman" w:cs="Times New Roman"/>
          <w:sz w:val="24"/>
          <w:szCs w:val="24"/>
        </w:rPr>
        <w:t xml:space="preserve"> niewłaściwe cechy organoleptyczne jak również nieprawidłowości w oznakowaniu znacznie obniżają jakość handlowa przedmiotowych partii ryb mrożonych.</w:t>
      </w:r>
    </w:p>
    <w:p w:rsidR="00554486" w:rsidRPr="00A61CBC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iCs/>
          <w:color w:val="00000A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Zakres naruszenia – wysoki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 W przedmiotowej sprawie stwierdzono naruszenie wymagań w zakresie oznakowania artykułów rolno – spożywczych - istotnych z punktu widzenia właściwości tych produktów, określonych w</w:t>
      </w:r>
      <w:r w:rsidRPr="00CC050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 w </w:t>
      </w:r>
      <w:r w:rsidRPr="00CC0500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CC050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 jakości handlowej</w:t>
      </w:r>
      <w:r w:rsidRPr="00CC050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,</w:t>
      </w:r>
      <w:r w:rsidRPr="00CC0500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rozporządzeniu </w:t>
      </w:r>
      <w:r w:rsidRPr="00CC0500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lastRenderedPageBreak/>
        <w:t>1169</w:t>
      </w:r>
      <w:r w:rsidR="00AD4C9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/2011, rozporządzeniu 1379/2013.</w:t>
      </w:r>
      <w:r w:rsidR="000D35A1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</w:t>
      </w:r>
      <w:r w:rsidR="00A61CBC">
        <w:rPr>
          <w:rFonts w:ascii="Times New Roman" w:eastAsia="Batang" w:hAnsi="Times New Roman" w:cs="Times New Roman"/>
          <w:iCs/>
          <w:color w:val="00000A"/>
          <w:kern w:val="1"/>
          <w:sz w:val="24"/>
          <w:szCs w:val="24"/>
          <w:lang w:eastAsia="zh-CN" w:bidi="hi-IN"/>
        </w:rPr>
        <w:t>Zastosowane, nieprawidłowe i niezgodne ze stanem rzeczywistym oznakowanie 3 partii mrożonych ryb uniemożliwiało dalsze przekazywanie konsumentom finalnym obowiązkowych i rzetelnych informacji na temat żywności.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CC050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</w:t>
      </w:r>
      <w:r w:rsidR="0055448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nie </w:t>
      </w:r>
      <w:r w:rsidRPr="00CC050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toczyły się postępowania administracyjne w sprawie wymierzenia kary pieniężnej z tytułu wprowadzenia do obrotu produktów o niewłaściwej jakości handlowej.</w:t>
      </w:r>
      <w:r w:rsidR="001E34A4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Nie mniej jednak ŚWIIH prowadził wobec strony postępowanie w zakresie niewłaściwej jakości handlowej mrożonych ryb, które zakończyło się wydaniem decyzji administracyjnej nr 23/2015 z dnia 9 lutego 2015r.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CC0500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strona przedstawiła informację o </w:t>
      </w:r>
      <w:r w:rsidRPr="00CC050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 w ostatnim roku rozliczeniowym.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  <w:r w:rsidRPr="00CC05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– </w:t>
      </w:r>
      <w:r w:rsidR="005544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8446</w:t>
      </w:r>
      <w:r w:rsidRPr="00CC050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zł.</w:t>
      </w:r>
    </w:p>
    <w:p w:rsidR="00CC0500" w:rsidRPr="00CC0500" w:rsidRDefault="00CC0500" w:rsidP="00CC0500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CC0500" w:rsidRDefault="00CC0500" w:rsidP="00E7753B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Świętokrzyski Wojewódzki Inspektor Inspekcji Handlowej wymi</w:t>
      </w:r>
      <w:r w:rsidR="00E7753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erzając karę w wysokości 8788,48</w:t>
      </w:r>
      <w:r w:rsidRPr="00CC050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zł </w:t>
      </w:r>
      <w:r w:rsidR="00E7753B" w:rsidRPr="000A27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(wartość wyliczona na podstawie osiągniętego przychodu przedsiębiorcy)</w:t>
      </w:r>
      <w:r w:rsidR="00E7753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uwzględnił powyższe przesłanki,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CC050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 zastosowana kara powinna być skuteczna, odstraszająca oraz proporcjonalna. W związku z tym zastosowany środek powinien być właściwy dla osiągnięcia zakładanego celu oraz najmniej uciążliwy.</w:t>
      </w:r>
    </w:p>
    <w:p w:rsidR="002E68C1" w:rsidRPr="00E7753B" w:rsidRDefault="002E68C1" w:rsidP="00E7753B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CC0500" w:rsidRDefault="00CC0500" w:rsidP="00CC0500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CC05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CC050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2E68C1" w:rsidRDefault="002E68C1" w:rsidP="00CC0500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2E68C1" w:rsidRDefault="002E68C1" w:rsidP="00CC0500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2E68C1" w:rsidRPr="00CC0500" w:rsidRDefault="002E68C1" w:rsidP="00CC0500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POUCZENIE</w:t>
      </w:r>
    </w:p>
    <w:p w:rsidR="00CC0500" w:rsidRPr="00CC0500" w:rsidRDefault="00CC0500" w:rsidP="00E7753B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CC0500" w:rsidRPr="00CC0500" w:rsidRDefault="00CC0500" w:rsidP="00CC0500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right="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C0500" w:rsidRPr="00CC0500" w:rsidRDefault="00CC0500" w:rsidP="00CC0500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Zgodnie z 40a ust. 6 i 7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 w:rsidRPr="00CC0500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NBP O/O KIELCE 42 1010 1238 0804 2222 3100 0000. </w:t>
      </w: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Termin zapłaty kary pieniężnej wynosi 30 dni od dnia,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którym decyzja o wymierzeniu kary stała się ostateczna.</w:t>
      </w:r>
    </w:p>
    <w:p w:rsidR="00CC0500" w:rsidRPr="00CC0500" w:rsidRDefault="00CC0500" w:rsidP="00CC0500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3.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CC05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2015r., poz. 613, z </w:t>
      </w:r>
      <w:proofErr w:type="spellStart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CC050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CC05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CC0500" w:rsidRPr="00CC0500" w:rsidRDefault="00CC0500" w:rsidP="00CC050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CC0500" w:rsidRPr="00CC0500" w:rsidRDefault="00CC0500" w:rsidP="00CC0500">
      <w:pPr>
        <w:suppressAutoHyphens/>
        <w:spacing w:after="0" w:line="240" w:lineRule="auto"/>
        <w:ind w:left="4962" w:right="71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Świętokrzyski Wojewódzki Inspektor</w:t>
      </w:r>
    </w:p>
    <w:p w:rsidR="00CC0500" w:rsidRDefault="00CC0500" w:rsidP="00E7753B">
      <w:pPr>
        <w:suppressAutoHyphens/>
        <w:spacing w:after="0" w:line="240" w:lineRule="auto"/>
        <w:ind w:left="4962" w:right="71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Inspekcji Handlowej</w:t>
      </w: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br/>
      </w:r>
    </w:p>
    <w:p w:rsidR="002E68C1" w:rsidRPr="00CC0500" w:rsidRDefault="002E68C1" w:rsidP="00E7753B">
      <w:pPr>
        <w:suppressAutoHyphens/>
        <w:spacing w:after="0" w:line="240" w:lineRule="auto"/>
        <w:ind w:left="4962" w:right="71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CC0500" w:rsidRPr="00CC0500" w:rsidRDefault="00CC0500" w:rsidP="00E7753B">
      <w:pPr>
        <w:suppressAutoHyphens/>
        <w:spacing w:after="0" w:line="240" w:lineRule="auto"/>
        <w:ind w:left="4962" w:right="71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CC05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Paweł Faryna</w:t>
      </w: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2E68C1" w:rsidRDefault="002E68C1" w:rsidP="00E775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</w:pPr>
    </w:p>
    <w:p w:rsidR="00E7753B" w:rsidRPr="00E7753B" w:rsidRDefault="00E7753B" w:rsidP="00E775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7753B">
        <w:rPr>
          <w:rFonts w:ascii="Times New Roman" w:eastAsia="SimSun" w:hAnsi="Times New Roman" w:cs="Times New Roman"/>
          <w:b/>
          <w:bCs/>
          <w:kern w:val="2"/>
          <w:sz w:val="20"/>
          <w:szCs w:val="20"/>
          <w:u w:val="single"/>
          <w:lang w:eastAsia="zh-CN" w:bidi="hi-IN"/>
        </w:rPr>
        <w:t>OTRZYMUJĄ:</w:t>
      </w:r>
    </w:p>
    <w:p w:rsidR="00E7753B" w:rsidRPr="00E7753B" w:rsidRDefault="00E7753B" w:rsidP="00E7753B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E775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AJEX – POL Sp. z o. o., ul. Gazowa 14, 42-202 Częstochowa</w:t>
      </w:r>
    </w:p>
    <w:p w:rsidR="00E7753B" w:rsidRPr="00E7753B" w:rsidRDefault="00E7753B" w:rsidP="00E7753B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E775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A/a</w:t>
      </w:r>
    </w:p>
    <w:p w:rsidR="00E7753B" w:rsidRPr="00E7753B" w:rsidRDefault="00E7753B" w:rsidP="00E7753B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734AFC" w:rsidRDefault="00734AFC"/>
    <w:sectPr w:rsidR="00734A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9C" w:rsidRDefault="006D059C">
      <w:pPr>
        <w:spacing w:after="0" w:line="240" w:lineRule="auto"/>
      </w:pPr>
      <w:r>
        <w:separator/>
      </w:r>
    </w:p>
  </w:endnote>
  <w:endnote w:type="continuationSeparator" w:id="0">
    <w:p w:rsidR="006D059C" w:rsidRDefault="006D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98641"/>
      <w:docPartObj>
        <w:docPartGallery w:val="Page Numbers (Bottom of Page)"/>
        <w:docPartUnique/>
      </w:docPartObj>
    </w:sdtPr>
    <w:sdtEndPr/>
    <w:sdtContent>
      <w:p w:rsidR="000B2788" w:rsidRDefault="000B27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60">
          <w:rPr>
            <w:noProof/>
          </w:rPr>
          <w:t>14</w:t>
        </w:r>
        <w:r>
          <w:fldChar w:fldCharType="end"/>
        </w:r>
      </w:p>
    </w:sdtContent>
  </w:sdt>
  <w:p w:rsidR="000B2788" w:rsidRDefault="000B2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9C" w:rsidRDefault="006D059C">
      <w:pPr>
        <w:spacing w:after="0" w:line="240" w:lineRule="auto"/>
      </w:pPr>
      <w:r>
        <w:separator/>
      </w:r>
    </w:p>
  </w:footnote>
  <w:footnote w:type="continuationSeparator" w:id="0">
    <w:p w:rsidR="006D059C" w:rsidRDefault="006D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C5424"/>
    <w:multiLevelType w:val="hybridMultilevel"/>
    <w:tmpl w:val="30546D0E"/>
    <w:lvl w:ilvl="0" w:tplc="1720A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740D"/>
    <w:multiLevelType w:val="hybridMultilevel"/>
    <w:tmpl w:val="B0E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6C6B"/>
    <w:multiLevelType w:val="hybridMultilevel"/>
    <w:tmpl w:val="CF6CDB00"/>
    <w:lvl w:ilvl="0" w:tplc="AEFA2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B03B9"/>
    <w:multiLevelType w:val="hybridMultilevel"/>
    <w:tmpl w:val="886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53D8"/>
    <w:multiLevelType w:val="hybridMultilevel"/>
    <w:tmpl w:val="AFC0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3905"/>
    <w:multiLevelType w:val="hybridMultilevel"/>
    <w:tmpl w:val="EB68BB00"/>
    <w:lvl w:ilvl="0" w:tplc="14B2314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83DB6"/>
    <w:multiLevelType w:val="hybridMultilevel"/>
    <w:tmpl w:val="0A5A5D02"/>
    <w:lvl w:ilvl="0" w:tplc="AEFA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00"/>
    <w:rsid w:val="00023353"/>
    <w:rsid w:val="000B2788"/>
    <w:rsid w:val="000D35A1"/>
    <w:rsid w:val="00156082"/>
    <w:rsid w:val="0016307E"/>
    <w:rsid w:val="00190F71"/>
    <w:rsid w:val="001A1B60"/>
    <w:rsid w:val="001B230E"/>
    <w:rsid w:val="001B3781"/>
    <w:rsid w:val="001D4C5F"/>
    <w:rsid w:val="001D4CD1"/>
    <w:rsid w:val="001E34A4"/>
    <w:rsid w:val="002501FD"/>
    <w:rsid w:val="00280457"/>
    <w:rsid w:val="0029126E"/>
    <w:rsid w:val="002C0AE3"/>
    <w:rsid w:val="002E68C1"/>
    <w:rsid w:val="00334853"/>
    <w:rsid w:val="00336EE0"/>
    <w:rsid w:val="00367295"/>
    <w:rsid w:val="003A0FB3"/>
    <w:rsid w:val="003F485A"/>
    <w:rsid w:val="004124F3"/>
    <w:rsid w:val="00480AA3"/>
    <w:rsid w:val="004A2105"/>
    <w:rsid w:val="004B65BE"/>
    <w:rsid w:val="004F5CE8"/>
    <w:rsid w:val="00525A2C"/>
    <w:rsid w:val="00554486"/>
    <w:rsid w:val="00555C7F"/>
    <w:rsid w:val="005715AC"/>
    <w:rsid w:val="00625186"/>
    <w:rsid w:val="00652242"/>
    <w:rsid w:val="006A5D8C"/>
    <w:rsid w:val="006D059C"/>
    <w:rsid w:val="006D3A12"/>
    <w:rsid w:val="006E2643"/>
    <w:rsid w:val="006F70BC"/>
    <w:rsid w:val="00707852"/>
    <w:rsid w:val="00721117"/>
    <w:rsid w:val="0073028D"/>
    <w:rsid w:val="00731AB9"/>
    <w:rsid w:val="00734AFC"/>
    <w:rsid w:val="00772613"/>
    <w:rsid w:val="007A714B"/>
    <w:rsid w:val="007D5912"/>
    <w:rsid w:val="007E7DBA"/>
    <w:rsid w:val="00812909"/>
    <w:rsid w:val="008166E2"/>
    <w:rsid w:val="0084484B"/>
    <w:rsid w:val="00895B6F"/>
    <w:rsid w:val="00896E44"/>
    <w:rsid w:val="008A13E3"/>
    <w:rsid w:val="00917EAF"/>
    <w:rsid w:val="00985947"/>
    <w:rsid w:val="009B0DF4"/>
    <w:rsid w:val="009F2E7C"/>
    <w:rsid w:val="00A1275D"/>
    <w:rsid w:val="00A27D5B"/>
    <w:rsid w:val="00A61CBC"/>
    <w:rsid w:val="00A75CE2"/>
    <w:rsid w:val="00AA0C21"/>
    <w:rsid w:val="00AB0334"/>
    <w:rsid w:val="00AD4C98"/>
    <w:rsid w:val="00B003E1"/>
    <w:rsid w:val="00B269DF"/>
    <w:rsid w:val="00B32F05"/>
    <w:rsid w:val="00B52F10"/>
    <w:rsid w:val="00B92228"/>
    <w:rsid w:val="00BC55C1"/>
    <w:rsid w:val="00C16EE6"/>
    <w:rsid w:val="00C476CF"/>
    <w:rsid w:val="00C765EF"/>
    <w:rsid w:val="00C82717"/>
    <w:rsid w:val="00CC0500"/>
    <w:rsid w:val="00CC0587"/>
    <w:rsid w:val="00CD033F"/>
    <w:rsid w:val="00CF6900"/>
    <w:rsid w:val="00D00880"/>
    <w:rsid w:val="00D04514"/>
    <w:rsid w:val="00D67E3E"/>
    <w:rsid w:val="00DA40AA"/>
    <w:rsid w:val="00DA7C07"/>
    <w:rsid w:val="00DB45F7"/>
    <w:rsid w:val="00DD600C"/>
    <w:rsid w:val="00E106BF"/>
    <w:rsid w:val="00E324A4"/>
    <w:rsid w:val="00E3605B"/>
    <w:rsid w:val="00E51AD1"/>
    <w:rsid w:val="00E73AAA"/>
    <w:rsid w:val="00E7753B"/>
    <w:rsid w:val="00EA027C"/>
    <w:rsid w:val="00EA07D0"/>
    <w:rsid w:val="00EA3586"/>
    <w:rsid w:val="00F23FD4"/>
    <w:rsid w:val="00F42581"/>
    <w:rsid w:val="00F82358"/>
    <w:rsid w:val="00F855FB"/>
    <w:rsid w:val="00FC764F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A1A3-F112-4D4B-AFF2-4E056D8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00"/>
  </w:style>
  <w:style w:type="paragraph" w:styleId="Akapitzlist">
    <w:name w:val="List Paragraph"/>
    <w:basedOn w:val="Normalny"/>
    <w:uiPriority w:val="34"/>
    <w:qFormat/>
    <w:rsid w:val="00D00880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707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ED72-971F-4020-8E69-7C5827A0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14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48</cp:revision>
  <dcterms:created xsi:type="dcterms:W3CDTF">2017-07-12T07:27:00Z</dcterms:created>
  <dcterms:modified xsi:type="dcterms:W3CDTF">2017-07-17T08:22:00Z</dcterms:modified>
</cp:coreProperties>
</file>