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tbl>
      <w:tblPr>
        <w:tblW w:w="4748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748"/>
      </w:tblGrid>
      <w:tr>
        <w:trPr/>
        <w:tc>
          <w:tcPr>
            <w:tcW w:w="474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 w:bidi="hi-IN"/>
              </w:rPr>
            </w:pPr>
            <w:r>
              <w:rPr/>
              <w:drawing>
                <wp:inline distT="0" distB="9525" distL="0" distR="0">
                  <wp:extent cx="419100" cy="46672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 w:bidi="hi-I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 w:bidi="hi-IN"/>
              </w:rPr>
              <w:t>ŚWIĘTOKRZYSKI</w:t>
            </w:r>
          </w:p>
          <w:p>
            <w:pPr>
              <w:pStyle w:val="Normal"/>
              <w:widowControl w:val="false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 w:bidi="hi-I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 w:bidi="hi-IN"/>
              </w:rPr>
              <w:t>WOJEWÓDZKI INSPEKTOR</w:t>
            </w:r>
          </w:p>
          <w:p>
            <w:pPr>
              <w:pStyle w:val="Normal"/>
              <w:widowControl w:val="false"/>
              <w:tabs>
                <w:tab w:val="center" w:pos="1701" w:leader="none"/>
              </w:tabs>
              <w:suppressAutoHyphens w:val="true"/>
              <w:spacing w:lineRule="auto" w:line="36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 w:bidi="hi-IN"/>
              </w:rPr>
              <w:t>INSPEKCJI HANDLOWEJ</w:t>
            </w:r>
          </w:p>
        </w:tc>
      </w:tr>
    </w:tbl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right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Kielce, 28 maja 2019r.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  <w:t>ŻG.8361.24.2019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center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DECYZJA Nr 88/2019</w:t>
      </w:r>
    </w:p>
    <w:p>
      <w:pPr>
        <w:pStyle w:val="Normal"/>
        <w:tabs>
          <w:tab w:val="left" w:pos="573" w:leader="none"/>
          <w:tab w:val="left" w:pos="1701" w:leader="none"/>
          <w:tab w:val="left" w:pos="1985" w:leader="none"/>
        </w:tabs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Na podstawie art. 40a ust. 1 pkt 4 oraz ust. 4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 dnia 21 grudnia 2000r. o jakości handlowej artykułów rolno-spożywczych (tekst jednolity: Dz. U. z 2018r., poz. 2164 z późn.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oraz art. 104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 dnia 14 czerwca 1960 r. Kodeks postępowania administracyjnego (tekst jednolity: Dz. U. z 2018r. poz. 2096 z późn.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, po przeprowadzeniu postępowania administracyjnego, 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Świętokrzyski Wojewódzki Inspektor Inspekcji Handlowej wymierza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przedsiębiorcy Agacie Badawy prowadzącej działalność gospodarczą pod nazwą Agata Badawy MIDO ze stałym miejscem wykonywania działalności gospodarczej w Radomiu przy ul. Romualda Traugutta 51, 26-600 Radom </w:t>
      </w:r>
      <w:r>
        <w:rPr>
          <w:rFonts w:cs="Times New Roman" w:ascii="Times New Roman" w:hAnsi="Times New Roman"/>
          <w:b/>
          <w:bCs/>
          <w:szCs w:val="24"/>
        </w:rPr>
        <w:t xml:space="preserve">karę pieniężną w wysokości 3104,57 zł </w:t>
      </w:r>
      <w:r>
        <w:rPr>
          <w:rFonts w:cs="Times New Roman" w:ascii="Times New Roman" w:hAnsi="Times New Roman"/>
          <w:szCs w:val="24"/>
        </w:rPr>
        <w:t>(słownie: trzy tysiące cztery złote 57/100) określoną na podstawie art. 40a ust. 1 pkt 4</w:t>
      </w:r>
      <w:r>
        <w:rPr>
          <w:rFonts w:cs="Times New Roman" w:ascii="Times New Roman" w:hAnsi="Times New Roman"/>
          <w:b/>
          <w:szCs w:val="24"/>
        </w:rPr>
        <w:t xml:space="preserve"> </w:t>
      </w:r>
      <w:r>
        <w:rPr>
          <w:rFonts w:cs="Times New Roman" w:ascii="Times New Roman" w:hAnsi="Times New Roman"/>
          <w:i/>
          <w:szCs w:val="24"/>
        </w:rPr>
        <w:t xml:space="preserve">Ustawy z dnia 21 grudnia 2000r. o jakości handlowej artykułów rolno-spożywczych (tekst jednolity: Dz. U. z 2016r., poz. 1604 z późn. zm.) </w:t>
      </w:r>
      <w:r>
        <w:rPr>
          <w:rFonts w:cs="Times New Roman" w:ascii="Times New Roman" w:hAnsi="Times New Roman"/>
          <w:b/>
          <w:szCs w:val="24"/>
        </w:rPr>
        <w:t xml:space="preserve">– </w:t>
      </w:r>
      <w:r>
        <w:rPr>
          <w:rFonts w:cs="Times New Roman" w:ascii="Times New Roman" w:hAnsi="Times New Roman"/>
        </w:rPr>
        <w:t>z tytułu wprowadzenia do obrotu 12 partii wyrobów kulinarnych niespełniających wymagań jakości handlowej oraz jednocześnie noszących znamiona zafałszowania.</w:t>
      </w:r>
    </w:p>
    <w:p>
      <w:pPr>
        <w:pStyle w:val="Normal"/>
        <w:widowControl w:val="false"/>
        <w:tabs>
          <w:tab w:val="left" w:pos="505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center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UZASADNIENIE</w:t>
      </w:r>
    </w:p>
    <w:p>
      <w:pPr>
        <w:pStyle w:val="Normal"/>
        <w:tabs>
          <w:tab w:val="left" w:pos="567" w:leader="none"/>
        </w:tabs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W dniach 5 -6 lutego 2019r., 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w placówce handlowej</w:t>
      </w:r>
      <w:bookmarkStart w:id="1" w:name="_Hlk498595000"/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: Kebab MIDO, pl. Tadeusza Kościuszki 22, 28-300 Jędrzejów</w:t>
      </w:r>
      <w:bookmarkEnd w:id="1"/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, na podstawie upoważnienia Świętokrzyskiego Wojewódzkiego Inspektora Inspekcji Handlowej – zwanego dalej ŚWIIH, nr ŻG.8361.24.2019 z dnia 4 lutego 2019r., inspektorzy Wojewódzkiego Inspektoratu Inspekcji Handlowej w Kielcach dokonali kontroli przedsiębiorcy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Agaty Badawy prowadzącej działalność gospodarczą pod nazwą Agata Badawy MIDO ze stałym miejscem wykonywania działalności gospodarczej w Radomiu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 – zwanego dalej „stroną, kontrolowanym przedsiębiorcą”. Kontrolę przeprowadzono na podstawie przepisów: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-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art. 3 ust. 1 pkt 1, 2 i 6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 dnia 15 grudnia 2000r. o Inspekcji Handlowej (t. j.: Dz. U. 2018r. poz. 1930z późn.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zwanej dalej - „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ustawą o Inspekcji Handlowej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”;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- art. 17 ust. 3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 dnia 21 grudnia 2000r. o jakości handlowej artykułów rolno – spożywczych (t. j.: Dz. U.  2018r. poz. 2164 z póź.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zwanej dalej -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„ustawą o jakości handlowej”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;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- art. 3 ust. 1, 2, 3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 xml:space="preserve">Rozporządzenia (WE) nr 882/2004 Parlamentu Europejskiego i Rady z dnia 29 kwietnia 2004r. w sprawie kontroli urzędowych przeprowadzonych w celu sprawdzenia zgodności z prawem paszowym i żywnościowym oraz regułami dotyczącymi zdrowia zwierząt i dobrostanu zwierząt (Dz. U. L 165 z 30. 04. 2004r., str. 1, z późn. zm.; sprostowanie Dz. U. L 191 z 28.05.2004, str. 1 z późn. zm.);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w obecności przedsiębiorcy.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i/>
          <w:i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>Kontrola została zainicjowana w zakresie weryfikacji składu deklarowanego z rzeczywistym oferowanych do sprzedaży oferowanych do sprzedaży wyrobów oraz rzetelności obsługi w placówkach gastronomicznych, w tym oferujących potrawy kuchni zagranicznych.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>W celu sprawdzenia prawidłowości oznakowania oraz rzetelności sprzedawanych potraw - inspektorzy Wojewódzkiego Inspektoratu Inspekcji Handlowej w Kielcach – zwanego dalej „WIIH w Kielcach”, występując w charakterze konsumentów - w dniu 5 lutego 2019 r., w placówce handlowej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: Kebab MIDO w Jędrzejowie, pl. Tadeusza Kościuszki 22,</w:t>
      </w:r>
      <w:r>
        <w:rPr/>
        <w:t xml:space="preserve"> 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po zapoznaniu się z ofertą zamieszczoną w cenniku na ścianie przed wejściem do lokalu tożsamym z cennikiem na ścianie w środku lokalu, zamówiły </w:t>
      </w:r>
      <w:bookmarkStart w:id="2" w:name="_Hlk10021342"/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2 porcje dania Talerz z baraniną </w:t>
      </w:r>
      <w:bookmarkEnd w:id="2"/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– mięso z baraniny w zestawie w cenie 17,00zł/porcja oraz 2 szt. napoju Coca-cola w puszce w cenie 3,00zł/porcja oferowanego w lodówce obok kasy.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ab/>
        <w:t>Następnie inspektorzy WIIH w Kielcach ujawnili swój charakter służbowy i dokonali dalszych czynności kontrolnych. Ustalono, że kontrolowana placówka jest restauracją turecką oferującą dania przygotowywane w całości na miejscu z mrożonych półproduktów oraz świeżych składników. W cenniku były oferowane dania z baraniny oraz drobiu. Ponadto do niektórych dań był oferowany dodatek w postaci sera.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ab/>
        <w:t>Obok cennika, za kasą znajdowały się dwa grille, na których przyrządzane były dwa rodzaje kebabów. Do dań zamówionych przez inspektorów użyto mięsa z grilla po lewej stronie. Przedsiębiorca Agata Badawy przedłożyła etykiety z opakowań oraz dowód dostawy obu półproduktów znajdujących się na grillach. Zgodnie z przedstawionymi etykietami oraz dokumentem ustalono, że na grillu znajdowały się: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- „Kebab drobiowy surowy cały kurczak – produkt głęboko mrożony” z datą produkcji 28.01.2019 i terminem przydatności do spożycia 27.01.2020 produkcji Ege Food, ul. Jurajska 8, 42-244 Jaskrów, 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- „100% mielony kebab wołowo-indyczy surowy – produkt głęboko mrożony” z datą produkcji 26.01.2019 i terminem przydatności do spożycia 25.01.2020 produkcji Ege Food, ul. Jurajska 8, 42-244 Jaskrów, dostarczone za fakturą nr F/0064/01/19 z dn. 23.01.2019r.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ab/>
        <w:t>Na stanie placówki, w kuchni oraz magazynach brak było baraniny lub półproduktu zawierającego baraninę w składzie. Nie przedstawiono również żadnego dokumentu potwierdzającego zakup przez przedsiębiorcę baraniny lub półproduktu z dodatkiem mięsa baraniego. Przedsiębiorca nie okazał żadnego dokumentu, który mógłby potwierdzić zakup mięsa baraniego w okresie od początku działania lokalu aż do momentu rozpoczęcia czynności kontrolnych.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ab/>
        <w:t>Ponadto ustalono, że na stanie placówki brak było sera żółtego, zaś w miejscu przygotowania dań (w postaci wiórków) oraz w lodówce magazynowej (w postaci wiórków oraz w kawałkach w łącznej ilości 9kg) znajdował się „ŚWIĘTOKRZYSKI- produkt spożywczy z dodatkiem tłuszczu roślinnego” produkcji Okręgowa Spółdzielnia Mleczarska, 29-100 Włoszczowa, ul. Kochanowskiego 1, zawierający w swoim składzie tłuszcz roślinny palmowy w ilości 26% z datą minimalnej trwałości 28.03.2019, który zgodnie z przedłożonym dokumentem zakupu (faktura VAT 780/2019) został dostarczony do placówki 4 lutego 2019. Nie przedłożono inspektorom żadnego dokumentu potwierdzającego zakup sera żółtego.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ab/>
        <w:t>Wydruki zdjęć ww. dowodów dostaw i produktu „Świętokrzyski” oraz etykietę kebaba wołowo-indyczego załączono do akt sprawy.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ab/>
        <w:t>Na powyższe okoliczności przedsiębiorca złożył pisemne oświadczenie, w którym wyjaśnił, że nie był świadomy, że produkt „Świętokrzyski” OSM Włoszczowa nie jest serem, a stosował go z uwagi na korzystne właściwości smakowe i technologiczne – topliwość. W przypadku rodzaju oferowanego w cenniku mięsa, w lokalu posiadają do wyboru kebab drobiowy oraz wołowo-indyczy, o czym klienci powinni być informowani przy każdym zakupie, nie wie dlaczego, sprzedawca nie poinformował o rodzaju mięsa inspektorów dokonujących zakupu kontrolnego.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ab/>
        <w:t xml:space="preserve">W toku dalszych czynności kontrolnych dokonano sprawdzenia prawidłowości oznakowania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wyrobów kulinarnych pochodzących z zakupu kontrolnego oraz ww. wyrobów oferowanych z baraniną tj.: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1. TALERZ Z BARANINĄ – mięso z baraniny w zestawie – w cenie 17zł/porcja, (będące przedmiotem zakupu kontrolnego w ilości 2 porcji, wartości 34zł);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2. MEGA TALERZ BARANINA – podwójne mięso z baraniny z serem w zestawie – w cenie 20zł/porcja;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3. TALERZ MIX – mix mięsny baranio-drobiowy z dodatkiem sera w zestawie – w cenie 18zł/porcja;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bookmarkStart w:id="3" w:name="_Hlk10021579"/>
      <w:bookmarkEnd w:id="3"/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4. TALERZ MEGA MIX – podwójna ilość mięsa baranio-drobiowego z podwójnym serem w zestawie – w cenie 21zł/porcja;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5. KEBAB – mięso kebab w cienkiej picie arabskiej z surówką i sosami – w cenie 10zł/porcja,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6. EXTRA DUŻY – podwójne mięso kebab w dwa razy większej picie arabskiej z surówkami i sosami – w cenie 13zł/porcja;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7. SUPER EXTRA DUŻY – podwójne mięso kebab w dwa razy większej picie arabskiej z podwójnym serem z surówkami i sosami – w cenie 14zł/porcja;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8. XXL – potrójne mięso kebab w dwa razy większej picie arabskiej z podwójnym serem z surówką i sosami – w cenie 17zł/porcja;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9. XYZ – poczwórne mięso kebab w dwa razy większej picie arabskiej z potrójnym serem z surówkami i sosami – w cenie 20zł/porcja;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10. MEGA MIX – podwójne mięso mix kurczak baranina z serem, sosami i surówkami – w cenie 15zł/porcja.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11. TORTILLA – ciasto tureckie zapiekane z mięsem, papryką i serem – w cenie 15zł/porcja;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12. Sałatka FETUSZ – świeże pomidory, ogórki, cebulka z prażonym chlebkiem z serem żółtym – w cenie 7zł/porcja.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ab/>
        <w:t>W dniu rozpoczęcia kontroli, na stanie kontrolowanej placówki, w cenniku lub innym miejscu dostępnym bezpośrednio konsumentom brak było wykazu składników z podkreśleniem alergenów występujących w oferowanych potrawach. W drugim dniu kontroli przedsiębiorca przedłożył katalog zawierający wykaz składników oraz składników alergennych dla oferowanych w KEBAB MIDO dań.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ind w:firstLine="360"/>
        <w:contextualSpacing/>
        <w:jc w:val="both"/>
        <w:rPr>
          <w:rFonts w:ascii="Times New Roman" w:hAnsi="Times New Roman" w:eastAsia="SimSun" w:cs="Times New Roman"/>
          <w:sz w:val="24"/>
          <w:szCs w:val="21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 xml:space="preserve">Wobec powyższych ustaleń, inspektorzy WIIH w Kielcach stwierdzili, że </w:t>
      </w:r>
      <w:r>
        <w:rPr>
          <w:rFonts w:eastAsia="SimSun" w:cs="Times New Roman" w:ascii="Times New Roman" w:hAnsi="Times New Roman"/>
          <w:sz w:val="24"/>
          <w:szCs w:val="21"/>
          <w:lang w:eastAsia="zh-CN" w:bidi="hi-IN"/>
        </w:rPr>
        <w:t>wyżej wymienione partie wyrobów kulinarnych zostały wprowadzone do obrotu z naruszeniem przepisów:</w:t>
      </w:r>
    </w:p>
    <w:p>
      <w:pPr>
        <w:pStyle w:val="Normal"/>
        <w:suppressAutoHyphens w:val="true"/>
        <w:spacing w:lineRule="auto" w:line="360" w:before="0" w:after="0"/>
        <w:contextualSpacing/>
        <w:jc w:val="both"/>
        <w:rPr>
          <w:rFonts w:ascii="Times New Roman" w:hAnsi="Times New Roman" w:eastAsia="SimSun" w:cs="Times New Roman"/>
          <w:sz w:val="24"/>
          <w:szCs w:val="21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1"/>
          <w:lang w:eastAsia="zh-CN" w:bidi="hi-IN"/>
        </w:rPr>
        <w:t xml:space="preserve">- </w:t>
      </w:r>
      <w:r>
        <w:rPr>
          <w:rFonts w:eastAsia="SimSun" w:cs="Times New Roman" w:ascii="Times New Roman" w:hAnsi="Times New Roman"/>
          <w:sz w:val="24"/>
          <w:szCs w:val="21"/>
          <w:u w:val="single"/>
          <w:lang w:eastAsia="zh-CN" w:bidi="hi-IN"/>
        </w:rPr>
        <w:t>§ 19 ust. 1 pkt. 3 i ust. 2</w:t>
      </w:r>
      <w:r>
        <w:rPr>
          <w:rFonts w:eastAsia="SimSun" w:cs="Times New Roman" w:ascii="Times New Roman" w:hAnsi="Times New Roman"/>
          <w:sz w:val="24"/>
          <w:szCs w:val="21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i/>
          <w:sz w:val="24"/>
          <w:szCs w:val="21"/>
          <w:lang w:eastAsia="zh-CN" w:bidi="hi-IN"/>
        </w:rPr>
        <w:t>Rozporządzenia Ministra Rolnictwa i Rozwoju Wsi z dnia 23 grudnia 2014 r. w sprawie znakowania poszczególnych rodzajów środków spożywczych (Dz. U. z 2015 r. poz. 29 z późn. zm.)</w:t>
      </w:r>
      <w:r>
        <w:rPr>
          <w:rFonts w:eastAsia="SimSun" w:cs="Times New Roman" w:ascii="Times New Roman" w:hAnsi="Times New Roman"/>
          <w:sz w:val="24"/>
          <w:szCs w:val="21"/>
          <w:lang w:eastAsia="zh-CN" w:bidi="hi-IN"/>
        </w:rPr>
        <w:t xml:space="preserve"> – z uwagi na brak podania w karcie menu lub innym miejscu bezpośrednio dostępnym konsumentom informacji o wykazie składników z wyszczególnieniem substancji lub produktów powodujących alergie lub reakcje nietolerancji (dotyczy wszystkich wyżej wymienionych 12 partii wyrobów kulinarnych);</w:t>
      </w:r>
    </w:p>
    <w:p>
      <w:pPr>
        <w:pStyle w:val="Normal"/>
        <w:tabs>
          <w:tab w:val="left" w:pos="360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0"/>
          <w:lang w:eastAsia="zh-CN"/>
        </w:rPr>
      </w:pPr>
      <w:r>
        <w:rPr>
          <w:rFonts w:eastAsia="SimSun" w:cs="Times New Roman" w:ascii="Times New Roman" w:hAnsi="Times New Roman"/>
          <w:sz w:val="24"/>
          <w:szCs w:val="21"/>
          <w:lang w:eastAsia="zh-CN" w:bidi="hi-IN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0"/>
          <w:u w:val="single"/>
          <w:lang w:eastAsia="zh-CN"/>
        </w:rPr>
        <w:t>art. 7 ust. 1 lit. a</w:t>
      </w:r>
      <w:r>
        <w:rPr>
          <w:rFonts w:eastAsia="Times New Roman" w:cs="Times New Roman" w:ascii="Times New Roman" w:hAnsi="Times New Roman"/>
          <w:sz w:val="24"/>
          <w:szCs w:val="20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0"/>
          <w:lang w:eastAsia="zh-CN"/>
        </w:rPr>
        <w:t>rozporządzenia Parlamentu Europejskiego i Rady (WE) nr 1169/2011 z dnia 25 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U. L 304 z 22.11.2011, s. 18 z późn. zm.)</w:t>
      </w:r>
      <w:r>
        <w:rPr>
          <w:rFonts w:eastAsia="Times New Roman" w:cs="Times New Roman" w:ascii="Times New Roman" w:hAnsi="Times New Roman"/>
          <w:sz w:val="24"/>
          <w:szCs w:val="20"/>
          <w:lang w:eastAsia="zh-CN"/>
        </w:rPr>
        <w:t xml:space="preserve"> w związku z </w:t>
      </w:r>
      <w:r>
        <w:rPr>
          <w:rFonts w:eastAsia="Times New Roman" w:cs="Times New Roman" w:ascii="Times New Roman" w:hAnsi="Times New Roman"/>
          <w:sz w:val="24"/>
          <w:szCs w:val="20"/>
          <w:u w:val="single"/>
          <w:lang w:eastAsia="zh-CN"/>
        </w:rPr>
        <w:t>art 16</w:t>
      </w:r>
      <w:r>
        <w:rPr>
          <w:rFonts w:eastAsia="Times New Roman" w:cs="Times New Roman" w:ascii="Times New Roman" w:hAnsi="Times New Roman"/>
          <w:sz w:val="24"/>
          <w:szCs w:val="20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0"/>
          <w:lang w:eastAsia="zh-CN"/>
        </w:rPr>
        <w:t xml:space="preserve">rozporządzenia (WE) Nr 178/2002 Parlamentu Europejskiego i Rady z dnia 20 stycznia 2002 r. ustanawiające ogólne zasady i wymagania prawa żywnościowego, powołujące Europejski Urząd ds. Bezpieczeństwa Żywności oraz ustanawiające procedury w zakresie bezpieczeństwa żywności (Dz.U. L 31 z 01.02.2002, str. 1, z późn. zm.) - </w:t>
      </w:r>
      <w:r>
        <w:rPr>
          <w:rFonts w:eastAsia="Times New Roman" w:cs="Times New Roman" w:ascii="Times New Roman" w:hAnsi="Times New Roman"/>
          <w:sz w:val="24"/>
          <w:szCs w:val="20"/>
          <w:lang w:eastAsia="zh-CN"/>
        </w:rPr>
        <w:t>z uwagi na zastosowanie w nazwie oraz składzie wyrobów określenia wprowadzającego w błąd, co do charakterystyki środków spożywczych w tym ich nazwy i rodzaju – dotyczy wszystkich wyżej opisanych wyrobów kulinarnych (10 rodzajów wyrobów kulinarnych opisanych w pozycjach nr 1-10, wyroby deklarowane z baraniną, podczas gdy do ich przygotowania używany jest półprodukt „kebab wołowo-indyczy” oraz 9 wyrobów kulinarnych opisanych w pozycjach nr 2-4 i 7-12, wyroby deklarowane z użyciem sera podczas gdy do ich przyrządzania stosowany jest produkt seropodobny zawierający w swoim składzie tłuszcz roślinny);</w:t>
      </w:r>
    </w:p>
    <w:p>
      <w:pPr>
        <w:pStyle w:val="Normal"/>
        <w:tabs>
          <w:tab w:val="left" w:pos="360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zh-CN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0"/>
          <w:u w:val="single"/>
          <w:lang w:eastAsia="zh-CN"/>
        </w:rPr>
        <w:t>Załącznika VII, część III pkt 2</w:t>
      </w:r>
      <w:r>
        <w:rPr>
          <w:rFonts w:eastAsia="Times New Roman" w:cs="Times New Roman" w:ascii="Times New Roman" w:hAnsi="Times New Roman"/>
          <w:sz w:val="24"/>
          <w:szCs w:val="20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0"/>
          <w:lang w:eastAsia="zh-CN"/>
        </w:rPr>
        <w:t xml:space="preserve">rozporządzenia Parlamentu Europejskiego i Rady (UE) Nr 1308/2013 z dnia 17 grudnia 2013 r. ustanawiającego wspólną organizację rynków produktów rolnych oraz uchylającego rozporządzenia Rady (EWG) nr 922/72, (EWG) nr 234/79, (WE) nr 1037/2001 i (WE) nr 1234/2007 (Dz. Urz. UE. L Nr 347, s. 671, z późn. zm.) </w:t>
      </w:r>
      <w:r>
        <w:rPr>
          <w:rFonts w:eastAsia="Times New Roman" w:cs="Times New Roman" w:ascii="Times New Roman" w:hAnsi="Times New Roman"/>
          <w:sz w:val="24"/>
          <w:szCs w:val="20"/>
          <w:lang w:eastAsia="zh-CN"/>
        </w:rPr>
        <w:t>– z uwagi na zastosowanie w cenniku określenia „ser” dla produktu seropodobnego – dotyczy ww. 9 partii wyrobów opisanych w pozycjach nr 2-4 i 7-12.</w:t>
      </w:r>
    </w:p>
    <w:p>
      <w:pPr>
        <w:pStyle w:val="Normal"/>
        <w:tabs>
          <w:tab w:val="left" w:pos="360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zh-CN"/>
        </w:rPr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ab/>
        <w:t>Powyższe czynności i ustalenia zostały udokumentowane w protokole kontroli nr ŻG.8361.24.2019, który został podpisany, przez kontrolowanego przedsiębiorcę w dniu 6 lutego 2019r. Przedsiębiorca Agata Badawy,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 w:bidi="hi-IN"/>
        </w:rPr>
        <w:t xml:space="preserve">w myśl art. 20 ust. 2 </w:t>
      </w:r>
      <w:r>
        <w:rPr>
          <w:rFonts w:eastAsia="Times New Roman" w:cs="Times New Roman" w:ascii="Times New Roman" w:hAnsi="Times New Roman"/>
          <w:bCs/>
          <w:i/>
          <w:iCs/>
          <w:color w:val="000000"/>
          <w:sz w:val="24"/>
          <w:szCs w:val="24"/>
          <w:lang w:eastAsia="zh-CN" w:bidi="hi-IN"/>
        </w:rPr>
        <w:t>ustawy o Inspekcji Handlowej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 w:bidi="hi-IN"/>
        </w:rPr>
        <w:t xml:space="preserve"> - nie zgłosił uwag i zastrzeżeń do sporządzonego protokołu kontroli.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ab/>
        <w:t>W dniu 22 lutego 2019 r. strona poinformowała, że wszystkie wykazane w czasie kontroli nieprawidłowości zostały usunięte (Pismo z dnia 18 lutego 2019 r.).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ab/>
        <w:t xml:space="preserve">Wobec powyższego, pismem z dnia 26 marca 2019r., ŚWIIH zawiadomił kontrolowanych przedsiębiorcę o wszczęciu z urzędu postępowania administracyjnego w celu wymierzenia kary pieniężnej określonej na zasadach przyjętych w art. 40a ust. 1 pkt 4 </w:t>
      </w:r>
      <w:r>
        <w:rPr>
          <w:rFonts w:eastAsia="Lucida Sans Unicode" w:cs="Times New Roman" w:ascii="Times New Roman" w:hAnsi="Times New Roman"/>
          <w:bCs/>
          <w:i/>
          <w:iCs/>
          <w:sz w:val="24"/>
          <w:szCs w:val="24"/>
          <w:lang w:eastAsia="zh-CN" w:bidi="hi-IN"/>
        </w:rPr>
        <w:t xml:space="preserve">ustawy o jakości handlowej </w:t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>z tytułu wprowadzenia do obrotu handlowego 12 partii wyrobów kulinarnych niespełniających wymagań jakości handlowej, noszących znamiona zafałszowania. Ww. piśmie przedsiębiorca został poinformowany o przysługującym prawie wypowiadania się co do zebranych w sprawie dowodów i materiałów oraz o możliwości zapoznania się z aktami sprawy. Strona została wezwana również do złożenia oświadczenia dotyczącego wysokości osiąganych obrotów w ostatnim roku rozliczeniowym. Przedmiotowe pismo zostało odebrane przez przedsiębiorcę29 marca 2019 r.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ab/>
        <w:t>Strona nie skorzystała z przysługujących praw, w piśmie z dnia 8 kwietnia poinformowała jedynie o wysokości osiągniętego przychodu oraz dochodu w 2018 r.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Następnie ŚWIIH uznając zgromadzony materiał za kompletny, pismem z dnia 26 marca 2019r. zawiadomił przedsiębiorców o zakończeniu postępowania administracyjnego jak również poinformował stronę o przysługującym prawie do zapoznania się z aktami sprawy a także do wypowiedzenia się co do wszystkich zebranych dowodów i materiałów. Pismo pomimo dwukrotnej próby doręczenia nie zostało podjęte w terminie. Zgodnie z art. 44 ww.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 xml:space="preserve">kodeksu postępowania administracyjnego,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rzeczone pismo uznano za skutecznie doręczone i załączone do akt sprawy.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center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Świętokrzyski Wojewódzki Inspektor Inspekcji Handlowej ustalił i stwierdził: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Zgodnie z </w:t>
      </w: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art. 17 ust. 1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Rozporządzenia Parlamentu Europejskiego i Rady z dnia 28 stycznia 2002 r. nr 178/2002 ustanawiającego ogólne zasady i wymagania prawa żywnościowego, powołującego Europejski Urząd ds. Bezpieczeństwa Żywności oraz ustanawiającego procedury w zakresie bezpieczeństwa żywności (Dz. U. L 31 z 1.2.2002 s. 1 z późn.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– zwanego dalej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„rozporządzeniem 178/2002”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– podmioty działające na rynku spożywczym i pasz zapewniają, na wszystkich etapach produkcji, przetwarzania i dystrybucji w przedsiębiorstwach będących pod ich kontrolą, zgodność tej żywności lub pasz z wymogami prawa żywnościowego właściwymi dla ich działalności i kontrolowanie przestrzegania tych wymogów.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Ustawa o jakości handlowej stanowi w </w:t>
      </w: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art. 4 ust. 1,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że wprowadzane do obrotu artykuły rolno-spożywcze powinny spełniać wymagania w zakresie jakości handlowej, jeżeli w przepisach o jakości handlowej zostały określone takie wymagania, oraz dodatkowe wymagania dotyczące tych artykułów, jeżeli ich spełnienie zostało zadeklarowane przez producenta.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Jak wynika z przepisu </w:t>
      </w: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 xml:space="preserve">art. 3 pkt </w:t>
      </w:r>
      <w:r>
        <w:rPr>
          <w:rFonts w:eastAsia="SimSun" w:cs="Times New Roman" w:ascii="Times New Roman" w:hAnsi="Times New Roman"/>
          <w:b/>
          <w:i/>
          <w:sz w:val="24"/>
          <w:szCs w:val="24"/>
          <w:lang w:eastAsia="zh-CN" w:bidi="hi-IN"/>
        </w:rPr>
        <w:t>5 ustawy o jakości handlowej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, przez jakość handlową należy rozumieć cechy artykułu rolno-spożywczego dotyczące jego właściwości organoleptycznych, fizykochemicznych i mikrobiologicznych w zakresie technologii produkcji, wielkości lub masy oraz wymagania wynikające ze sposobu produkcji, opakowania, prezentacji i oznakowania, nieobjęte wymaganiami sanitarnymi, weterynaryjnymi lub fitosanitarnymi.</w:t>
      </w:r>
    </w:p>
    <w:p>
      <w:pPr>
        <w:pStyle w:val="Normal"/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Natomiast zgodnie z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 xml:space="preserve">art. 3 pkt 10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ww. ustawy - artykuł rolno-spożywczy zafałszowany – jest to produkt, którego skład jest niezgodny z przepisami dotyczącymi jakości handlowej poszczególnych artykułów rolno-spożywczych, albo produkt, w którym zostały wprowadzone zmiany, w tym zmiany dotyczące oznakowania, mające na celu ukrycie jego rzeczywistego składu lub innych właściwości, jeżeli niezgodności te lub zmiany w istotny sposób naruszają interesy konsumentów finalnych, w szczególności jeżeli: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 xml:space="preserve">a)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dokonano zabiegów, które zmieniły lub ukryły jego rzeczywisty skład lub nadały mu wygląd produktu zgodnego z przepisami dotyczącymi jakości handlowej,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Batang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b) 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w oznakowaniu podano nazwę niezgodną z przepisami dotyczącymi jakości handlowej poszczególnych artykułów rolno-spożywczych albo niezgodną z prawdą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, </w:t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Batang" w:cs="Times New Roman"/>
          <w:sz w:val="24"/>
          <w:szCs w:val="24"/>
          <w:lang w:eastAsia="zh-CN" w:bidi="hi-IN"/>
        </w:rPr>
      </w:pPr>
      <w:r>
        <w:rPr>
          <w:rFonts w:eastAsia="Batang" w:cs="Times New Roman" w:ascii="Times New Roman" w:hAnsi="Times New Roman"/>
          <w:sz w:val="24"/>
          <w:szCs w:val="24"/>
          <w:lang w:eastAsia="zh-CN" w:bidi="hi-IN"/>
        </w:rPr>
        <w:t xml:space="preserve">c) </w:t>
      </w:r>
      <w:r>
        <w:rPr>
          <w:rFonts w:eastAsia="Batang" w:cs="Times New Roman" w:ascii="Times New Roman" w:hAnsi="Times New Roman"/>
          <w:bCs/>
          <w:sz w:val="24"/>
          <w:szCs w:val="24"/>
          <w:lang w:eastAsia="zh-CN" w:bidi="hi-IN"/>
        </w:rPr>
        <w:t>w oznakowaniu podano niezgodne z prawdą dane w zakresie składu,</w:t>
      </w:r>
      <w:r>
        <w:rPr>
          <w:rFonts w:eastAsia="Batang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>
        <w:rPr>
          <w:rFonts w:eastAsia="Batang" w:cs="Times New Roman" w:ascii="Times New Roman" w:hAnsi="Times New Roman"/>
          <w:sz w:val="24"/>
          <w:szCs w:val="24"/>
          <w:lang w:eastAsia="zh-CN" w:bidi="hi-IN"/>
        </w:rPr>
        <w:t>pochodzenia, terminu przydatności do spożycia lub daty minimalnej trwałości, zawartości netto lub klasy jakości handlowej.</w:t>
      </w:r>
    </w:p>
    <w:p>
      <w:pPr>
        <w:pStyle w:val="Normal"/>
        <w:suppressAutoHyphens w:val="true"/>
        <w:overflowPunct w:val="true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W myśl </w:t>
      </w: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 xml:space="preserve">art. 16 </w:t>
      </w:r>
      <w:r>
        <w:rPr>
          <w:rFonts w:eastAsia="SimSun" w:cs="Times New Roman" w:ascii="Times New Roman" w:hAnsi="Times New Roman"/>
          <w:b/>
          <w:i/>
          <w:iCs/>
          <w:sz w:val="24"/>
          <w:szCs w:val="24"/>
          <w:lang w:eastAsia="zh-CN" w:bidi="hi-IN"/>
        </w:rPr>
        <w:t>rozporządzenia 178/2002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- bez uszczerbku dla bardziej szczegółowych przepisów prawa żywnościowego, etykietowanie, reklama i prezentacja żywności lub pasz, z uwzględnieniem ich kształtu, wyglądu lub opakowania, używanych opakowań, sposobu ułożenia i miejsca wystawienia oraz informacji udostępnionych na ich temat w jakikolwiek sposób,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 nie może wprowadzać konsumentów w błąd.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Wymagania szczególne jakości handlowej w zakresie oznakowania żywności zostały określone w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rozporządzeniu Parlamentu Europejskiego i Rady (WE) nr 1169/2011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. Rozporządzenie to stanowi podstawę zapewnienia wysokiego poziomu ochrony konsumentów w zakresie informacji na temat żywności, przy uwzględnieniu różnic percepcji ze strony konsumentów i ich potrzeb informacyjnych, z równoczesnym zapewnieniem płynnego funkcjonowania rynku wewnętrznego. Określa ogólne zasady, wymogi i zakresy odpowiedzialności dotyczące informacji na temat żywności, a w szczególności etykietowania żywności. Ustanawia ono środki gwarantujące konsumentom prawo do informacji oraz procedury przekazywania informacji na temat żywności, przy uwzględnieniu konieczności zapewnienia elastyczności wystarczającej do reagowania na przyszłe zmiany i nowe wymogi w zakresie informacji. Zgodnie z </w:t>
      </w: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art. 7ust. 1 lit a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iCs/>
          <w:sz w:val="24"/>
          <w:szCs w:val="24"/>
          <w:lang w:eastAsia="zh-CN" w:bidi="hi-IN"/>
        </w:rPr>
        <w:t xml:space="preserve">tego rozporządzenia: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nformacje na temat żywności nie mogą wprowadzać w błąd, w szczególności co do właściwości środka spożywczego, a w szczególności co do jego charakteru, tożsamości, właściwości, składu, ilości, trwałości, kraju lub miejsca pochodzenia, metod wytwarzania lub produkcji.</w:t>
      </w:r>
    </w:p>
    <w:p>
      <w:pPr>
        <w:pStyle w:val="Normal"/>
        <w:overflowPunct w:val="true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Ponadto w przedmiotowej sprawie mają również zastosowanie przepisy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t xml:space="preserve"> rozporządzenia 1308/2013</w:t>
      </w:r>
      <w:r>
        <w:rPr>
          <w:rFonts w:cs="Times New Roman" w:ascii="Times New Roman" w:hAnsi="Times New Roman"/>
          <w:sz w:val="24"/>
          <w:szCs w:val="24"/>
        </w:rPr>
        <w:t xml:space="preserve">. W </w:t>
      </w:r>
      <w:r>
        <w:rPr>
          <w:rFonts w:cs="Times New Roman" w:ascii="Times New Roman" w:hAnsi="Times New Roman"/>
          <w:b/>
          <w:sz w:val="24"/>
          <w:szCs w:val="24"/>
        </w:rPr>
        <w:t xml:space="preserve">art. 78 </w:t>
      </w:r>
      <w:r>
        <w:rPr>
          <w:rFonts w:cs="Times New Roman" w:ascii="Times New Roman" w:hAnsi="Times New Roman"/>
          <w:sz w:val="24"/>
          <w:szCs w:val="24"/>
        </w:rPr>
        <w:t xml:space="preserve">rzeczonego rozporządzenia zostały określone definicje, oznaczenia i opisy handlowe dotyczące niektórych sektorów i produktów tj. oprócz, w stosownych przypadkach, mających zastosowanie norm handlowych stosuje się definicje, oznaczenia i opisy handlowe określone w </w:t>
      </w:r>
      <w:r>
        <w:rPr>
          <w:rFonts w:cs="Times New Roman" w:ascii="Times New Roman" w:hAnsi="Times New Roman"/>
          <w:b/>
          <w:sz w:val="24"/>
          <w:szCs w:val="24"/>
        </w:rPr>
        <w:t>załączniku VII</w:t>
      </w:r>
      <w:r>
        <w:rPr>
          <w:rFonts w:cs="Times New Roman" w:ascii="Times New Roman" w:hAnsi="Times New Roman"/>
          <w:sz w:val="24"/>
          <w:szCs w:val="24"/>
        </w:rPr>
        <w:t xml:space="preserve"> m.in. do takich produktów jak mleka i przetwory mleczne przeznaczone do spożycia przez ludzi. Zgodnie z definicją określoną w </w:t>
      </w:r>
      <w:r>
        <w:rPr>
          <w:rFonts w:cs="Times New Roman" w:ascii="Times New Roman" w:hAnsi="Times New Roman"/>
          <w:b/>
          <w:sz w:val="24"/>
          <w:szCs w:val="24"/>
        </w:rPr>
        <w:t>części III, pkt 2</w:t>
      </w:r>
      <w:r>
        <w:rPr>
          <w:rFonts w:cs="Times New Roman" w:ascii="Times New Roman" w:hAnsi="Times New Roman"/>
          <w:sz w:val="24"/>
          <w:szCs w:val="24"/>
        </w:rPr>
        <w:t xml:space="preserve"> załącznika ww. załącznika – pojęcie „przetwory mleczne” oznacza produkty uzyskiwane wyłącznie z mleka, przy założeniu, że można dodać substancje konieczne do ich wytworzenia, o ile nie stosuje się ich do zastąpienia – w całości lub części – jakichkolwiek naturalnych składników mleka. Wyłącznie dla przetworów mlecznych zarezerwowane są nazwy m.in. „śmietanka”, „ser” - stosowane na wszystkich etapach wprowadzenia do obrotu. W </w:t>
      </w:r>
      <w:r>
        <w:rPr>
          <w:rFonts w:cs="Times New Roman" w:ascii="Times New Roman" w:hAnsi="Times New Roman"/>
          <w:b/>
          <w:sz w:val="24"/>
          <w:szCs w:val="24"/>
        </w:rPr>
        <w:t>pkt 6 ww.</w:t>
      </w:r>
      <w:r>
        <w:rPr>
          <w:rFonts w:cs="Times New Roman" w:ascii="Times New Roman" w:hAnsi="Times New Roman"/>
          <w:sz w:val="24"/>
          <w:szCs w:val="24"/>
        </w:rPr>
        <w:t xml:space="preserve"> przepisu został określony obowiązek taki, że w odniesieniu do produktów innych niż opisane w pkt 1, 2, 3 III części załącznika VII - nie wolno używać żadnej etykiety, dokumentu handlowego, materiału reklamowego ani żadnej formy reklamy (…), ani żadnej prezentacji, które wskazywałyby, implikowałyby lub sugerowałyby, że produkt ten jest produktem mleczarskim.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Biorąc pod uwagę rodzaj oferowanych do sprzedaży produktów - zgodnie z </w:t>
      </w: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art. 44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ww. rozporządzenia - w przypadku oferowania środków spożywczych do sprzedaży konsumentom finalnym lub zakładom żywienia zbiorowego bez opakowania lub w przypadku pakowania środków spożywczych w pomieszczeniu sprzedaży na życzenie konsumenta lub ich pakowania do bezpośredniej sprzedaży: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a) przekazanie danych szczegółowych określonych w art. 9 ust. 1 lit. c) jest obowiązkowe;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b) przekazanie innych danych szczegółowych określonych w art. 9 i 10 nie jest obowiązkowe, chyba że państwo członkowskie przyjmie przepisy krajowe zawierające wymóg przekazania części lub wszystkich tych danych szczegółowych, lub elementów tych danych szczegółowych.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Państwa członkowskie mogą przyjmować przepisy krajowe dotyczące sposobu udostępniania danych szczegółowych lub elementów danych szczegółowych, o których mowa powyżej oraz – w stosownych przypadkach - form ich wyrażania i prezentacji.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Mając na uwadze powyższe, przepisy krajowe odnośnie szczególnych wymagań jakości handlowej w zakresie oznakowania środków spożywczych zostały określone </w:t>
      </w: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w § 19 ust. 1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rozporządzenie w sprawie znakowania poszczególnych rodzajów środków spożywczych, tj.: w przypadku środków spożywczych oferowanych do sprzedaży konsumentowi finalnemu lub zakładom żywienia zbiorowego bez opakowania lub w przypadku pakowania środków spożywczych w pomieszczeniu sprzedaży na życzenie konsumenta finalnego lub ich pakowania do bezzwłocznej sprzedaży podaje się: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1) nazwę środka spożywczego wskazaną w sposób określony w art. 17 rozporządzenia Parlamentu Europejskiego i Rady (WE) nr 1169/2011 z dnia 25 października 2011 r. w sprawie przekazywania konsumentom informacji na temat żywności, zmiany rozporządzeń Parlamentu Europejskiego i 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U. L 304 z 22.11.2011, s. 18 z późn. zm.);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2) nazwę albo imię i nazwisko producenta;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3) wykaz składników – zgodnie z art. 18–20 rozporządzenia nr 1169/2011, z uwzględnieniem informacji, o których mowa w art. 21 tego rozporządzenia;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4) klasę jakości handlowej albo inny wyróżnik jakości handlowej, jeżeli zostały one ustalone w przepisach w sprawie szczegółowych wymagań w zakresie jakości handlowej poszczególnych artykułów rolno-spożywczych lub ich grup albo jeżeli obowiązek podawania klasy jakości handlowej albo wyróżnika wynika z odrębnych przepisów;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5) w przypadku produktów rybołówstwa w rozumieniu pkt 3.1 załącznika I do rozporządzenia (WE) nr 853/2004 Parlamentu Europejskiego i Rady z dnia 29 kwietnia 2004r. ustanawiającego szczególne przepisy dotyczące higieny w odniesieniu do żywności pochodzenia zwierzęcego mrożonych glazurowanych – dodatkowo informację dotyczącą ilościowej zawartości glazury lub ryby albo owoców morza w tych produktach;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6) w przypadku pieczywa – dodatkowo: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a) masę jednostkową,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b) informację „pieczywo produkowane z ciasta mrożonego” albo „pieczywo produkowane z ciasta głęboko mrożonego”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gdy został zastosowany taki proces technologiczny.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>Przepis ust. 2 w/w rozporządzenia stanowi, iż informacje, o których mowa w ust. 1, podaje się w miejscu sprzedaży na wywieszce dotyczącej danego środka spożywczego lub w inny sposób, w miejscu dostępnym bezpośrednio konsumentowi finalnemu.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W załączniku II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do rozporządzenia 1169/2011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ustawodawca określił katalog substancji lub produktów powodujących alergie lub reakcje nietolerancji, które zgodnie z ww. przepisami powinny być wyróżnione w sporządzonym wykazie składników poszczególnych artykułów rolno – spożywczych, w przedmiotowej sprawie wyrobów kulinarnych.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 xml:space="preserve">Odnosząc się do wyżej przytoczonych przepisów prawa, po dokładnej analizie zgromadzonego do sprawy materiału dowodowego, należy stwierdzić, że w dniu kontroli, w placówce zlokalizowanej w Jędrzejowie, pl. Tadeusza Kościuszki 22 zostały wykryte nieprawidłowości w zakresie oznakowania i składu oferowanych do sprzedaży wyrobów kulinarnych. Nabyte w drodze zakupu kontrolnego wyroby kulinarne tj. 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2 porcje dania Talerz z baraniną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wykonane zostały z mięsa wołowego – indyczego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 o czym nie byli poinformowani kupujący. Ponadto niektóre dania oferowane do sprzedaży z serem (podlegające w toku kontroli ocenie: 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MEGA TALERZ BARANINA, TALERZ MIX, TALERZ MEGA MIX,</w:t>
      </w:r>
      <w:r>
        <w:rPr>
          <w:rFonts w:eastAsia="SimSun" w:cs="Times New Roman" w:ascii="Times New Roman" w:hAnsi="Times New Roman"/>
          <w:sz w:val="24"/>
          <w:szCs w:val="21"/>
          <w:lang w:eastAsia="zh-CN" w:bidi="hi-IN"/>
        </w:rPr>
        <w:t xml:space="preserve"> SUPER EXTRA DUŻY, XXL,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1"/>
          <w:lang w:eastAsia="zh-CN" w:bidi="hi-IN"/>
        </w:rPr>
        <w:t>XYZ, MEGA MIX, TORTILLA,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1"/>
          <w:lang w:eastAsia="zh-CN" w:bidi="hi-IN"/>
        </w:rPr>
        <w:t>Sałatka FETUSZ)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 - 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wykonane były z udziałem produktu seropodobnego – o czym też nie byli poinformowani kupujący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 Należy więc stwierdzić, że nie tylko dania pochodzące z zakupu kontrolnego ale wszystkie dania oferowane w dniu kontroli do sprzedaży, jako dania z baraniną i serem nosiły znamiona zafałszowania. Ponadto wszystkie oceniane partie wyrobów nie posiadały uwidocznionych informacji o wykazie składników wraz z zaznaczeniem substancji i produktów alergennych bądź powodujących reakcję nietolerancji, co wpływa to bezpośrednio na bezpieczeństwo konsumentów.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ind w:right="71" w:firstLine="709"/>
        <w:jc w:val="both"/>
        <w:rPr>
          <w:rFonts w:ascii="Times New Roman" w:hAnsi="Times New Roman" w:eastAsia="SimSun" w:cs="Times New Roman"/>
          <w:b/>
          <w:b/>
          <w:bCs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Z</w:t>
      </w: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godnie z art. 40a ust. 1 pkt 4 ustawy o jakości handlowej,</w:t>
      </w:r>
      <w:r>
        <w:rPr>
          <w:rFonts w:eastAsia="SimSun" w:cs="Times New Roman" w:ascii="Times New Roman" w:hAnsi="Times New Roman"/>
          <w:b/>
          <w:bCs/>
          <w:i/>
          <w:color w:val="000000"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kto wprowadza do obrotu artykuły rolno – spożywcze zafałszowane podlega karze pieniężnej w wysokości nie wyższej niż 10% przychodu osiągniętego w roku rozliczeniowym poprzedzającym rok nałożenia kary, nie niższej jednak niż 1000 zł.</w:t>
      </w:r>
    </w:p>
    <w:p>
      <w:pPr>
        <w:pStyle w:val="Normal"/>
        <w:spacing w:lineRule="auto" w:line="360" w:before="0" w:after="0"/>
        <w:ind w:right="71"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Karę pieniężną, o której mowa powyżej, wymierza w drodze decyzji, Główny Inspektor albo właściwy ze względu na miejsce przeprowadzenia kontroli wojewódzki inspektor lub wojewódzki inspektor Inspekcji Handlowej.</w:t>
      </w:r>
    </w:p>
    <w:p>
      <w:pPr>
        <w:pStyle w:val="Normal"/>
        <w:spacing w:lineRule="auto" w:line="360" w:before="0" w:after="0"/>
        <w:ind w:right="71" w:firstLine="709"/>
        <w:jc w:val="both"/>
        <w:rPr>
          <w:rFonts w:ascii="Times New Roman" w:hAnsi="Times New Roman" w:eastAsia="SimSu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 myśl art 104 K.P.A. </w:t>
      </w:r>
      <w:r>
        <w:rPr>
          <w:rFonts w:eastAsia="SimSun" w:cs="Times New Roman" w:ascii="Times New Roman" w:hAnsi="Times New Roman"/>
          <w:b/>
          <w:sz w:val="24"/>
          <w:szCs w:val="24"/>
        </w:rPr>
        <w:t>§ 1 – Organ administracji publicznej załatwia sprawę przez wydanie decyzji, chyba że przepisy kodeksy stanowią inaczej. § 2 – Decyzje rozstrzygają sprawę co do jej istoty w całości lub w części albo w inny sposób kończą sprawę w danej instancji.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firstLine="709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tabs>
          <w:tab w:val="left" w:pos="573" w:leader="none"/>
        </w:tabs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Ustalając w przedmiotowej sprawie wysokość kary pieniężnej z tytułu wprowadzenia do obrotu przez przedsiębiorcę Agatę Badawy 12 </w:t>
      </w:r>
      <w:r>
        <w:rPr>
          <w:rFonts w:eastAsia="Lucida Sans Unicode" w:cs="Times New Roman" w:ascii="Times New Roman" w:hAnsi="Times New Roman"/>
          <w:sz w:val="24"/>
          <w:szCs w:val="24"/>
          <w:lang w:eastAsia="zh-CN" w:bidi="hi-IN"/>
        </w:rPr>
        <w:t>partii wyrobów zafałszowanych,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Świętokrzyski Wojewódzki Inspektor Inspekcji Handlowej zgodnie art. 40a ust. 5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ustawy o jakości handlowej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uwzględnił:</w:t>
      </w:r>
    </w:p>
    <w:p>
      <w:pPr>
        <w:pStyle w:val="Normal"/>
        <w:widowControl w:val="false"/>
        <w:suppressAutoHyphens w:val="tru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>Stopień szkodliwości czynu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- </w:t>
      </w:r>
      <w:r>
        <w:rPr>
          <w:rFonts w:eastAsia="SimSun" w:cs="Times New Roman" w:ascii="Times New Roman" w:hAnsi="Times New Roman"/>
          <w:bCs/>
          <w:iCs/>
          <w:sz w:val="24"/>
          <w:szCs w:val="24"/>
          <w:lang w:eastAsia="zh-CN" w:bidi="hi-IN"/>
        </w:rPr>
        <w:t xml:space="preserve">wysoki. 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Podanie składu potrawy niezgodnego z prawdą w rażący sposób narusza interesy konsumentów, gdyż wprowadza ich w błąd, co do właściwości środka spożywczego, a w szczególności co do jego charakteru, właściwości i składu. 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zh-CN" w:bidi="hi-IN"/>
        </w:rPr>
        <w:t>Konsument sugerując się nazwą potraw mógł uznać, że nabywa wysokowartościowy gatunek mięsa – baraniego, jak również produkt mleczny – ser, w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 istocie nabywał inny, dużo tańszy gatunek mięsa jak również sera - a tym samym otrzymywał produkty niezgodne z jego oczekiwaniami. </w:t>
      </w:r>
      <w:r>
        <w:rPr>
          <w:rFonts w:eastAsia="Batang" w:cs="Times New Roman" w:ascii="Times New Roman" w:hAnsi="Times New Roman"/>
          <w:sz w:val="24"/>
          <w:szCs w:val="24"/>
          <w:lang w:eastAsia="zh-CN" w:bidi="hi-IN"/>
        </w:rPr>
        <w:t>Brak uwidocznienia w miejscu sprzedaży wyróżnienia  składników alergennych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 obecnych w gotowych potrawach uniemożliwiało konsumentom dokonywanie właściwego wyboru związanego ze spożywaną przez nich żywnością, a dodatkowo dla osób nietolerujących bądź uczulonych na dany składnik produkty te mogły być produktami niebezpiecznymi.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Palatino Linotype" w:cs="Times New Roman"/>
          <w:b/>
          <w:b/>
          <w:bCs/>
          <w:color w:val="000000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Zakres naruszenia – wysoki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 w:bidi="hi-IN"/>
        </w:rPr>
        <w:t>. W przedmiotowej sprawie stwierdzono naruszenie wymagań w zakresie oznakowania oraz składu wyrobów kulinarnych, określonych w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powszechnie obowiązującym polskim i europejskim prawie żywnościowym tj. w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zh-CN" w:bidi="hi-IN"/>
        </w:rPr>
        <w:t>u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zh-CN" w:bidi="hi-IN"/>
        </w:rPr>
        <w:t>stawie o jakości handlowej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 w:bidi="hi-IN"/>
        </w:rPr>
        <w:t xml:space="preserve">, </w:t>
      </w: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eastAsia="zh-CN" w:bidi="hi-IN"/>
        </w:rPr>
        <w:t>rozporządzeniu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 w:bidi="hi-IN"/>
        </w:rPr>
        <w:t xml:space="preserve"> </w:t>
      </w:r>
      <w:r>
        <w:rPr>
          <w:rFonts w:eastAsia="Batang" w:cs="Times New Roman" w:ascii="Times New Roman" w:hAnsi="Times New Roman"/>
          <w:i/>
          <w:iCs/>
          <w:color w:val="00000A"/>
          <w:sz w:val="24"/>
          <w:szCs w:val="24"/>
          <w:lang w:eastAsia="zh-CN" w:bidi="hi-IN"/>
        </w:rPr>
        <w:t>w sprawie</w:t>
      </w:r>
      <w:r>
        <w:rPr>
          <w:rFonts w:eastAsia="Batang" w:cs="Times New Roman" w:ascii="Times New Roman" w:hAnsi="Times New Roman"/>
          <w:color w:val="00000A"/>
          <w:sz w:val="24"/>
          <w:szCs w:val="24"/>
          <w:lang w:eastAsia="zh-CN" w:bidi="hi-IN"/>
        </w:rPr>
        <w:t xml:space="preserve"> </w:t>
      </w:r>
      <w:r>
        <w:rPr>
          <w:rFonts w:eastAsia="Batang" w:cs="Times New Roman" w:ascii="Times New Roman" w:hAnsi="Times New Roman"/>
          <w:i/>
          <w:iCs/>
          <w:color w:val="00000A"/>
          <w:sz w:val="24"/>
          <w:szCs w:val="24"/>
          <w:lang w:eastAsia="zh-CN" w:bidi="hi-IN"/>
        </w:rPr>
        <w:t xml:space="preserve">znakowania poszczególnych rodzajów środków spożywczych, w rozporządzeniu 1169/2011 </w:t>
      </w:r>
      <w:r>
        <w:rPr>
          <w:rFonts w:eastAsia="Batang" w:cs="Times New Roman" w:ascii="Times New Roman" w:hAnsi="Times New Roman"/>
          <w:iCs/>
          <w:color w:val="00000A"/>
          <w:sz w:val="24"/>
          <w:szCs w:val="24"/>
          <w:lang w:eastAsia="zh-CN" w:bidi="hi-IN"/>
        </w:rPr>
        <w:t xml:space="preserve">oraz </w:t>
      </w:r>
      <w:r>
        <w:rPr>
          <w:rFonts w:eastAsia="Batang" w:cs="Times New Roman" w:ascii="Times New Roman" w:hAnsi="Times New Roman"/>
          <w:i/>
          <w:iCs/>
          <w:color w:val="00000A"/>
          <w:sz w:val="24"/>
          <w:szCs w:val="24"/>
          <w:lang w:eastAsia="zh-CN" w:bidi="hi-IN"/>
        </w:rPr>
        <w:t>rozporządzeniu 1308/2013.</w:t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Palatino Linotype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Dotychczasowa działalność przedsiębiorcy –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w okresie ostatnich 24 miesięcy wobec kontrolowanego przedsiębiorcy nie toczyło się postępowanie administracyjne w sprawie wymierzenia kary pieniężnej z tytułu wprowadzenia do obrotu produktów o niewłaściwej jakości handlowej lub produktów zafałszowanych.</w:t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Palatino Linotype" w:cs="Times New Roman"/>
          <w:color w:val="000000"/>
          <w:sz w:val="24"/>
          <w:szCs w:val="24"/>
          <w:lang w:eastAsia="zh-CN" w:bidi="hi-IN"/>
        </w:rPr>
      </w:pPr>
      <w:r>
        <w:rPr>
          <w:rFonts w:eastAsia="Palatino Linotype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 xml:space="preserve">Wielkość obrotu i przychodu– 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>strona przedstawiła zaświadczenie o osiągniętym przychodzie oraz dochodach.</w:t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  <w:lang w:eastAsia="zh-CN" w:bidi="hi-IN"/>
        </w:rPr>
        <w:t>Wartość kontrolowanych artykułów rolno – spożywczych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 –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 w:bidi="hi-IN"/>
        </w:rPr>
        <w:t>204 zł.</w:t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Świętokrzyski Wojewódzki Inspektor Inspekcji Handlowej wymierzając kary w wysokości: 3104,57 zł z tytułu wprowadzenia do obrotu wyrobów zafałszowanych, uwzględnił powyższe przesłanki,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jak również odniósł się do art. 17 ust. 2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rozporządzenia nr 178/2002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, który stanowi, iż zastosowana kara powinna być skuteczna, odstraszająca oraz proporcjonalna. W związku z tym zastosowany środek powinien być właściwy dla osiągnięcia zakładanego celu oraz najmniej uciążliwy.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Wobec powyższego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Świętokrzyski Wojewódzki Inspektor Inspekcji Handlowej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 orzekł jak w sentencji.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360" w:before="0" w:after="0"/>
        <w:ind w:right="74" w:hanging="0"/>
        <w:jc w:val="center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zh-CN" w:bidi="hi-IN"/>
        </w:rPr>
        <w:t>POUCZENIE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overflowPunct w:val="true"/>
        <w:spacing w:lineRule="auto" w:line="360" w:before="0" w:after="0"/>
        <w:ind w:left="0" w:right="57" w:hanging="11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Zgodnie z art. 127 § 1 i 2 oraz art. 129 § 1 i 2 K.P.A.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stronie postępowania służy odwołanie od niniejszej decyzji do Prezesa Urzędu Ochrony Konkurencji i Konsumentów. Odwołanie należy wnieść w terminie 14 dni od dnia doręczenia decyzji za pośrednictwem Świętokrzyskiego Wojewódzkiego Inspektora Inspekcji Handlowej, ul. Sienkiewicza 76, 25-950 Kielce.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overflowPunct w:val="true"/>
        <w:spacing w:lineRule="auto" w:line="360" w:before="0" w:after="0"/>
        <w:ind w:right="57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360" w:before="0" w:after="0"/>
        <w:ind w:left="0" w:right="71" w:hanging="11"/>
        <w:contextualSpacing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Zgodnie z 40a ust. 6 i 7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o jakości handlowej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kary pieniężne stanowią dochód budżetu państwa i są wpłacane na rachunek bankowy Wojewódzkiego Inspektoratu Inspekcji Handlowej w Kielcach: </w:t>
      </w: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zh-CN" w:bidi="hi-IN"/>
        </w:rPr>
        <w:t xml:space="preserve">NBP O/O KIELCE 42 1010 1238 0804 2222 3100 0000. 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>Termin zapłaty kary pieniężnej wynosi 30 dni od dnia,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w którym decyzja o wymierzeniu kary stała się ostateczna.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b/>
          <w:b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360" w:before="0" w:after="0"/>
        <w:ind w:right="71" w:hanging="0"/>
        <w:jc w:val="both"/>
        <w:rPr/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3.</w:t>
        <w:tab/>
        <w:t xml:space="preserve"> Do należności pieniężnych 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>nie uiszczonych w terminie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stosuje się odpowiednio przepisy działu III 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 xml:space="preserve">Ustawy z dnia 29 sierpnia 1997.r – Ordynacja podatkowa (tekst jednolity: Dz. U. z 2015r., poz. 613, z późn. zm.).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Należność pieniężna nie zapłacona w terminie staje się w rozumienie art. 51 ww. ordynacji podatkowej zaległością podatkową. Powstanie takiej zaległości podatkowej rodzi dla zobowiązanego skutek prawny w postaci obowiązku uiszczenia oprócz kwoty zaległości także odsetek za zwłokę.</w:t>
      </w:r>
    </w:p>
    <w:tbl>
      <w:tblPr>
        <w:tblW w:w="921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05"/>
        <w:gridCol w:w="4604"/>
      </w:tblGrid>
      <w:tr>
        <w:trPr>
          <w:trHeight w:val="164" w:hRule="atLeast"/>
        </w:trPr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ind w:right="71" w:hanging="0"/>
              <w:jc w:val="center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ind w:right="71" w:hanging="0"/>
              <w:jc w:val="center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b/>
          <w:b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right"/>
        <w:rPr>
          <w:rFonts w:ascii="Times New Roman" w:hAnsi="Times New Roman" w:eastAsia="SimSun" w:cs="Times New Roman"/>
          <w:b/>
          <w:b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b/>
          <w:i/>
          <w:iCs/>
          <w:sz w:val="24"/>
          <w:szCs w:val="24"/>
          <w:u w:val="single"/>
          <w:lang w:eastAsia="zh-CN" w:bidi="hi-IN"/>
        </w:rPr>
        <w:t>Na oryginale właściwe podpisy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b/>
          <w:b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SimSun" w:cs="Times New Roman" w:ascii="Times New Roman" w:hAnsi="Times New Roman"/>
          <w:b/>
          <w:bCs/>
          <w:sz w:val="20"/>
          <w:szCs w:val="20"/>
          <w:u w:val="single"/>
          <w:lang w:eastAsia="zh-CN" w:bidi="hi-IN"/>
        </w:rPr>
        <w:t>OTRZYMUJĄ: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rPr>
          <w:rFonts w:ascii="Times New Roman" w:hAnsi="Times New Roman" w:eastAsia="SimSun" w:cs="Times New Roman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sz w:val="20"/>
          <w:szCs w:val="20"/>
          <w:lang w:eastAsia="zh-CN" w:bidi="hi-IN"/>
        </w:rPr>
        <w:t>Agata Badawy</w:t>
      </w:r>
    </w:p>
    <w:p>
      <w:pPr>
        <w:pStyle w:val="Normal"/>
        <w:suppressAutoHyphens w:val="true"/>
        <w:spacing w:lineRule="auto" w:line="240" w:before="0" w:after="0"/>
        <w:ind w:left="1065" w:hanging="0"/>
        <w:contextualSpacing/>
        <w:rPr>
          <w:rFonts w:ascii="Times New Roman" w:hAnsi="Times New Roman" w:eastAsia="SimSun" w:cs="Times New Roman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sz w:val="20"/>
          <w:szCs w:val="20"/>
          <w:lang w:eastAsia="zh-CN" w:bidi="hi-IN"/>
        </w:rPr>
        <w:t>Agata Badawy MIDO, ul. Romualda Traugutta 51, 26-600 Radom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rPr>
          <w:rFonts w:ascii="Times New Roman" w:hAnsi="Times New Roman" w:eastAsia="SimSun" w:cs="Times New Roman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sz w:val="20"/>
          <w:szCs w:val="20"/>
          <w:lang w:eastAsia="zh-CN" w:bidi="hi-IN"/>
        </w:rPr>
        <w:t>A/a</w:t>
      </w:r>
    </w:p>
    <w:sectPr>
      <w:footerReference w:type="default" r:id="rId3"/>
      <w:type w:val="nextPage"/>
      <w:pgSz w:w="11906" w:h="16838"/>
      <w:pgMar w:left="1134" w:right="1134" w:header="0" w:top="1134" w:footer="708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38513272"/>
    </w:sdtPr>
    <w:sdtContent>
      <w:p>
        <w:pPr>
          <w:pStyle w:val="Stopka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i w:val="false"/>
        <w:b w:val="false"/>
        <w:szCs w:val="24"/>
        <w:iCs w:val="false"/>
        <w:bCs w:val="false"/>
        <w:rFonts w:ascii="Times New Roman" w:hAnsi="Times New Roman" w:eastAsia="Batang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0825"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0825"/>
    <w:rPr/>
  </w:style>
  <w:style w:type="character" w:styleId="ListLabel1">
    <w:name w:val="ListLabel 1"/>
    <w:qFormat/>
    <w:rPr>
      <w:rFonts w:ascii="Times New Roman" w:hAnsi="Times New Roman" w:eastAsia="Batang" w:cs="Times New Roman"/>
      <w:b w:val="false"/>
      <w:bCs w:val="false"/>
      <w:i w:val="false"/>
      <w:iCs w:val="false"/>
      <w:sz w:val="24"/>
      <w:szCs w:val="24"/>
    </w:rPr>
  </w:style>
  <w:style w:type="character" w:styleId="Wyrnienie">
    <w:name w:val="Wyróżnienie"/>
    <w:basedOn w:val="DefaultParagraphFont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opka">
    <w:name w:val="Footer"/>
    <w:basedOn w:val="Normal"/>
    <w:link w:val="StopkaZnak"/>
    <w:uiPriority w:val="99"/>
    <w:unhideWhenUsed/>
    <w:rsid w:val="00f2082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20825"/>
    <w:pPr>
      <w:suppressAutoHyphens w:val="true"/>
      <w:spacing w:lineRule="auto" w:line="240" w:before="0" w:after="0"/>
      <w:ind w:left="720" w:hanging="0"/>
      <w:contextualSpacing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DADEF-FB5B-4CE6-8898-203155CB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Application>LibreOffice/5.3.2.2$Windows_x86 LibreOffice_project/6cd4f1ef626f15116896b1d8e1398b56da0d0ee1</Application>
  <Pages>11</Pages>
  <Words>3865</Words>
  <Characters>24294</Characters>
  <CharactersWithSpaces>28144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2019-05-28T21:14:00Z</dcterms:created>
  <dc:creator>WIIH</dc:creator>
  <dc:description/>
  <dc:language>pl-PL</dc:language>
  <cp:lastModifiedBy/>
  <dcterms:modified xsi:type="dcterms:W3CDTF">2020-02-20T09:18:01Z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