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474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8"/>
      </w:tblGrid>
      <w:tr>
        <w:trPr/>
        <w:tc>
          <w:tcPr>
            <w:tcW w:w="4748" w:type="dxa"/>
            <w:tcBorders/>
            <w:shd w:color="auto" w:fill="auto" w:val="clear"/>
          </w:tcPr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/>
              <w:drawing>
                <wp:inline distT="0" distB="9525" distL="0" distR="0">
                  <wp:extent cx="419100" cy="46672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ŚWIĘTOKRZYSKI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WOJEWÓDZKI INSPEKTOR</w:t>
            </w:r>
          </w:p>
          <w:p>
            <w:pPr>
              <w:pStyle w:val="Normal"/>
              <w:tabs>
                <w:tab w:val="center" w:pos="1701" w:leader="none"/>
              </w:tabs>
              <w:suppressAutoHyphens w:val="true"/>
              <w:spacing w:lineRule="auto" w:line="240" w:before="0" w:after="0"/>
              <w:ind w:right="783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 w:bidi="hi-IN"/>
              </w:rPr>
              <w:t>INSPEKCJI HANDLOWEJ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right="71" w:hanging="0"/>
        <w:jc w:val="right"/>
        <w:rPr>
          <w:rFonts w:ascii="Times New Roman" w:hAnsi="Times New Roman" w:eastAsia="SimSun" w:cs="Times New Roman"/>
          <w:sz w:val="24"/>
          <w:szCs w:val="24"/>
          <w:u w:val="single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Kielce, 18 kwietnia 2019r.</w:t>
      </w:r>
    </w:p>
    <w:p>
      <w:pPr>
        <w:pStyle w:val="Normal"/>
        <w:suppressAutoHyphens w:val="true"/>
        <w:spacing w:lineRule="auto" w:line="360" w:before="0" w:after="0"/>
        <w:ind w:left="1134"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>ŻG.8361.8.2019</w:t>
      </w:r>
    </w:p>
    <w:p>
      <w:pPr>
        <w:pStyle w:val="Normal"/>
        <w:suppressAutoHyphens w:val="true"/>
        <w:spacing w:lineRule="auto" w:line="360" w:before="0" w:after="0"/>
        <w:ind w:right="71" w:hanging="0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DECYZJA Nr 61/2019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art. 40a ust. 1 pkt 4 oraz ust. 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21 grudnia 2000r. o jakości handlowej artykułów rolno-spożywczych (tekst jednolity: Dz. U. z 2018r., poz. 2164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oraz art. 104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14 czerwca 1960 r. Kodeks postępowania administracyjnego (tekst jednolity: Dz. U. z 2018r. poz. 2096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po przeprowadzeniu postępowania administracyjnego,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Świętokrzyski Wojewódzki Inspektor Inspekcji Handlowej wymierza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przedsiębiorcy</w:t>
      </w:r>
      <w:bookmarkStart w:id="0" w:name="_Hlk502742724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: </w:t>
      </w:r>
      <w:bookmarkStart w:id="1" w:name="_Hlk516654289"/>
      <w:r>
        <w:rPr>
          <w:rFonts w:cs="Times New Roman" w:ascii="Times New Roman" w:hAnsi="Times New Roman"/>
          <w:sz w:val="24"/>
          <w:szCs w:val="24"/>
        </w:rPr>
        <w:t>Przetwórnia Mięsa Kamiński Spółka z ograniczoną odpowiedzialnością Spółka komandytowa z siedzibą w Kielcach, ul. Otrocz 13, 25-332 Kielce</w:t>
      </w:r>
      <w:bookmarkEnd w:id="0"/>
      <w:bookmarkEnd w:id="1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karę pieniężną w wysokości 1000 zł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(słownie: jeden tysiąc złotych) określoną na podstawie art. 40a ust. 1 pkt 4 ww.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o jakości handlowej artykułów rolno-spożywczych </w:t>
      </w: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-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 tytułu wprowadzenia do obrotu</w:t>
      </w:r>
      <w:r>
        <w:rPr>
          <w:rFonts w:cs="Times New Roman" w:ascii="Times New Roman" w:hAnsi="Times New Roman"/>
          <w:sz w:val="24"/>
          <w:szCs w:val="24"/>
        </w:rPr>
        <w:t xml:space="preserve"> noszącej znamiona zafałszowania partii 5 szt. Ręcznie Robionych Pierogów z mięsem wołowo-wieprzowym i kapustą ARMAS - z uwagi na wykazaną w drodze badań laboratoryjnych niższą zawartość nadzienia.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UZASADNIENIE</w:t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 dniach 14 – 16 stycznia 2018r.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 na podstawie upoważnienia Świętokrzyskiego Wojewódzkiego Inspektora Inspekcji Handlowej – zwanego dalej ŚWIIH, nr ŻG.8361.8.2019 z dnia 14 stycznia 2019r., inspektorzy Wojewódzkiego Inspektoratu Inspekcji Handlowej w Kielcach dokonali kontroli przedsiębiorcy: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</w:t>
      </w:r>
      <w:bookmarkStart w:id="2" w:name="_Hlk6466174"/>
      <w:r>
        <w:rPr>
          <w:rFonts w:cs="Times New Roman" w:ascii="Times New Roman" w:hAnsi="Times New Roman"/>
          <w:sz w:val="24"/>
          <w:szCs w:val="24"/>
        </w:rPr>
        <w:t xml:space="preserve">Przetwórnia Mięsa Kamiński Spółka z ograniczoną odpowiedzialnością Spółka komandytowa z siedzibą w Kielcach </w:t>
      </w:r>
      <w:bookmarkEnd w:id="2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zwanego dalej „Spółką, Stroną, kontrolowanym przedsiębiorcą” w placówce handlowej: Sklep mięsny firmowy „Kamiński” nr 7 w Kielcach, ul. Seminaryjska 11, 25-372 Kielce.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Kontrolę przeprowadzono na podstawie przepisów: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art. 3 ust. 1 pkt 1, 2 i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 dnia 15 grudnia 2000r. o Inspekcji Handlowej (t. j.: Dz. U. 2018r. poz. 1930 z późn. zm.)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„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ustawą o Inspekcji Handlowej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”;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17 ust.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z dnia 21 grudnia 2000r. o jakości handlowej artykułów rolno – spożywczych (t. j.: Dz. U.  2018r. poz. 2164)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zwanej dalej -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„ustawą o jakości handlowej”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i/>
          <w:i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- art. 3 ust. 1, 2, 3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zm.);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w obecności osoby upoważnionej do reprezentowania przedsiębiorcy.</w:t>
      </w:r>
    </w:p>
    <w:p>
      <w:pPr>
        <w:pStyle w:val="Normal"/>
        <w:spacing w:lineRule="auto" w:line="360" w:before="0" w:after="0"/>
        <w:ind w:right="85" w:firstLine="708"/>
        <w:jc w:val="both"/>
        <w:rPr>
          <w:rFonts w:ascii="Times New Roman" w:hAnsi="Times New Roman" w:eastAsia="SimSun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Kontrola przedsiębiorcy miała na celu sprawdzenie jakości handlowej przede wszystkim surowych wyrobów mięsnych i przetworów mięsnych oraz wyrobów garmażeryjnych z przewagą składników pochodzenia zwierzęcego w zakresie cech organoleptycznych i fizykochemicznych w stosunku do obowiązujących przepisów i deklaracji producentów w oznakowaniu lub w inny sposób podanych do wiadomości konsumentom.</w:t>
      </w:r>
    </w:p>
    <w:p>
      <w:pPr>
        <w:pStyle w:val="Normal"/>
        <w:tabs>
          <w:tab w:val="left" w:pos="573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 xml:space="preserve">Wobec powyższego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na podstawie przepisów art. 16 ust. 1 pkt. 10 oraz przepisów rozdziału 6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ustawy o Inspekcji Handlowej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pobrano do badań  laboratoryjnych m.in. próbki </w:t>
      </w:r>
      <w:bookmarkStart w:id="3" w:name="_Hlk494719961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produktu:</w:t>
      </w:r>
      <w:r>
        <w:rPr>
          <w:rFonts w:eastAsia="Palatino Linotype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bookmarkEnd w:id="3"/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Ręcznie Robionych Pierogów z mięsem wołowo-wieprzowym i kapustą ARMAS, a’400g, „Domowe Tradycje”. Bez konserwantów,  w plastikowym opakowaniu ze zgrzewaną folią, w cenie sprzedaży 10,90 zł/szt., wartości 54,50 zł, z terminem przydatności do spożycia będącym jednocześnie numerem partii produkcyjnej 28/01/2019, producent: Z.P.H.U. „Armas”, 42-218 Częstochowa, ul. Wodzickiego 92/94.</w:t>
      </w:r>
    </w:p>
    <w:p>
      <w:pPr>
        <w:pStyle w:val="Normal"/>
        <w:tabs>
          <w:tab w:val="left" w:pos="573" w:leader="none"/>
        </w:tabs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Równolegle z próbką podstawową ww. produktu została pobrana i zabezpieczona w kontrolowanej placówce próbka kontrolna (protokół pobrania próbki podstawowej nr 110978 z dnia 14 stycznia 2019 r. oraz protokół pobrania próbki kontrolnej nr 110979 z dnia 14 stycznia 2019 r.).</w:t>
      </w:r>
    </w:p>
    <w:p>
      <w:pPr>
        <w:pStyle w:val="Normal"/>
        <w:widowControl w:val="false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ab/>
        <w:t>Próbka podstawowa ww. produktu została dostarczona do Urzędu Ochrony Konkurencji i Konsumentów Laboratorium Kontrolno – Analitycznego z siedzibą w Kielcach, ul. Sienkiewicza 76, 25-950 Kielce (protokół przyjęcia próbki do badań nr 9/2019 z dnia 14 stycznia 2019r.). Zlecony zakres badań pobranej próbki pierogów obejmował ocenę organoleptyczną oraz badanie zawartości netto, zawartości nadzienia/farszu, zawartości białka jako azotu, zawartości substancji konserwujących, identyfikację gatunków zwierząt.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Powyższe czynności i ustalenia zostały udokumentowane w protokole kontroli nr ŻG.8361.8.2019, który został podpisany w dniu 16 stycznia 2019r. Przedsiębiorca</w:t>
      </w:r>
      <w:r>
        <w:rPr>
          <w:rFonts w:cs="Times New Roman" w:ascii="Times New Roman" w:hAnsi="Times New Roman"/>
          <w:sz w:val="24"/>
          <w:szCs w:val="24"/>
        </w:rPr>
        <w:t xml:space="preserve"> Przetwórnia Mięsa Kamiński Spółka z ograniczoną odpowiedzialnością Spółka komandytowa z siedzibą w Kielcach,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w myśl art. 20 ust. 2 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lang w:eastAsia="zh-CN" w:bidi="hi-IN"/>
        </w:rPr>
        <w:t>ustawy o Inspekcji Handlowej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 xml:space="preserve"> - nie zgłosił uwag i zastrzeżeń do sporządzonego protokołu kontroli.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Batang" w:cs="Times New Roman"/>
          <w:i/>
          <w:i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ab/>
        <w:t>Badania laboratoryjne pobranej próbki, w porównaniu z wymaganiami określonymi w oznakowaniu produktu wykazały niższą zawartość nadzienia</w:t>
      </w:r>
      <w:r>
        <w:rPr>
          <w:rFonts w:cs="Times New Roman" w:ascii="Times New Roman" w:hAnsi="Times New Roman"/>
          <w:sz w:val="24"/>
          <w:szCs w:val="24"/>
        </w:rPr>
        <w:t xml:space="preserve"> tj. wynik badania 48,8% ± 2,9 przy deklarowanej wartości 60%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 oraz niższą zawartość białka </w:t>
      </w:r>
      <w:r>
        <w:rPr>
          <w:rFonts w:cs="Times New Roman" w:ascii="Times New Roman" w:hAnsi="Times New Roman"/>
          <w:sz w:val="24"/>
          <w:szCs w:val="24"/>
        </w:rPr>
        <w:t>tj. wynik badania 9,4 g/100 g ± 0,7 przy deklarowanej wartości g/100g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 W badanej próbce w zakresie metody 25 – 3000 mg/kg nie stwierdzono substancji konserwujących tj. kwasu benzoesowego, kwasu sorbowego i ich soli, stwierdzono wołowinę (&gt; 1%)  oraz wieprzowinę (&gt; 3%), nie stwierdzono drobiu (&gt; 1%) oraz baraniny (&gt; 2%). Próbka wykazała właściwe cechy organoleptyczne. Wyniki oznaczenia zawartości netto uznano za zgodne po zastosowaniu przepisów </w:t>
      </w:r>
      <w:r>
        <w:rPr>
          <w:rFonts w:eastAsia="Batang" w:cs="Times New Roman" w:ascii="Times New Roman" w:hAnsi="Times New Roman"/>
          <w:i/>
          <w:sz w:val="24"/>
          <w:szCs w:val="24"/>
          <w:lang w:eastAsia="zh-CN" w:bidi="hi-IN"/>
        </w:rPr>
        <w:t>Ustawy z dnia 7 maja 2009 r. o towarach paczkowanych (Dz.U. 2015, poz. 1161).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ab/>
        <w:t xml:space="preserve">Po otrzymaniu wyników badań laboratoryjnych, w zakresie zaniżonej wartości białka,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>ŚWIIH, po uwzględnieniu zakresu niepewności wyniku w metodzie badania uznał ww. parametr za zgodny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. Natomiast w zakresie badania zawartości nadzienia - otrzymany wynik uznał za niewłaściwy.</w:t>
      </w:r>
    </w:p>
    <w:p>
      <w:pPr>
        <w:pStyle w:val="Normal"/>
        <w:tabs>
          <w:tab w:val="left" w:pos="573" w:leader="none"/>
        </w:tabs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Wykazana nieprawidłowość narusza przepisy art. 7 ust. 1 lit. a oraz ust. 2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Rozporządzenia Parlamentu Europejskiego i Rady (WE) nr 1169/2011 z dnia 25 października 2011 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U. L 304 z 22.11.2011, s. 18 z późn. zm.).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W trybie art. 33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zh-CN" w:bidi="hi-IN"/>
        </w:rPr>
        <w:t>ustawy o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ŚWIIH skierował do kontrolowanego przedsiębiorcy (pismo z dnia 5 lutego 2019 r. ) jak również do producenta zakwestionowanego produktu (pismo z dnia 5 lutego 2019r.), wystąpienia pokontrolne informujące o stwierdzonych nieprawidłowościach, zawierające wnioski o ich usunięcie. Do przedmiotowych pism zostały załączone m. in. wyniki badań laboratoryjnych nr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12 z dnia 23 stycznia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  <w:t>Strona poinformowała w wyznaczonym terminie o realizacji wniosków pokontrolnych (data wpływu pisma 14.02.2019r.). Strona oświadczyła, że zwróciła się do producenta o wprowadzanie do obrotu wyrobów zgodnych z ich oznakowaniem. Nie zgłosiła wniosku o przebadanie próbki kontrolnej.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zh-CN" w:bidi="hi-IN"/>
        </w:rPr>
        <w:tab/>
        <w:t>Producent zakwestionowanej partii pierogów – Sławomir Spychała Zakład Produkcyjno – Handlowo – Usługowy „ARMAS”, w piśmie z dnia 12 lutego 2019r. (data wpływu pisma 20.02.2019 r.) poinformował, że wykazana nieprawidłowość była spowodowana błędem w zastosowanym oznakowaniu pierogów.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ab/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Wobec powyższego, pismem z dnia 21 lutego 2019 r. ŚWIIH zawiadomił przedsiębiorcę </w:t>
      </w:r>
      <w:r>
        <w:rPr>
          <w:rFonts w:cs="Times New Roman" w:ascii="Times New Roman" w:hAnsi="Times New Roman"/>
          <w:sz w:val="24"/>
          <w:szCs w:val="24"/>
        </w:rPr>
        <w:t>Przetwórnia Mięsa Kamiński Spółka z ograniczoną odpowiedzialnością Spółka komandytowa z siedzibą w Kielcach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 xml:space="preserve"> o wszczęciu z urzędu postępowania administracyjnego w przedmiocie wymierzenia kary pieniężnej, określonej na zasadach przyjętych w art. 40a ust. 1 pkt  4 </w:t>
      </w:r>
      <w:r>
        <w:rPr>
          <w:rFonts w:eastAsia="Lucida Sans Unicode" w:cs="Times New Roman" w:ascii="Times New Roman" w:hAnsi="Times New Roman"/>
          <w:bCs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z tytułu wprowadzenia do obrotu handlowego zafałszowanej partii pierogów.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ŚWIIH ww. piśmie poinformował przedsiębiorcę o przysługującym prawie wypowiadania się co do zebranych w sprawie dowodów i materiałów oraz o możliwości zapoznania się z aktami sprawy. Strona również została wezwana do złożenia oświadczenia dotyczącego wysokości osiąganych obrotów oraz przychodu w ostatnim roku rozliczeniowym. Przedmiotowe pismo zostało odebrane przez przedsiębiorcę w dniu 25 lutego 2019r.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  <w:t>Strona nie skorzystała z przysługujących praw, jedynie w piśmie z dnia 26 lutego 2019r. oświadczyła o osiągniętych obrotach oraz przychodzie za rok 2018.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Następnie ŚWIIH uznając zgromadzony materiał za kompletny, pismem z dnia 7 marca 2019r. zawiadomił przedsiębiorcę o zakończeniu postępowania administracyjnego, jak również poinformował o przysługującym prawie do zapoznania się z aktami sprawy a także do wypowiedzenia się co do wszystkich zebranych dowodów i materiałów. Przedmiotowe pismo zostało odebrane przez stronę 11 marca 2019 r.</w:t>
      </w:r>
    </w:p>
    <w:p>
      <w:pPr>
        <w:pStyle w:val="Normal"/>
        <w:tabs>
          <w:tab w:val="left" w:pos="720" w:leader="none"/>
        </w:tabs>
        <w:suppressAutoHyphens w:val="true"/>
        <w:snapToGrid w:val="fals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ab/>
      </w:r>
    </w:p>
    <w:p>
      <w:pPr>
        <w:pStyle w:val="Normal"/>
        <w:suppressAutoHyphens w:val="true"/>
        <w:spacing w:lineRule="auto" w:line="360" w:before="0" w:after="0"/>
        <w:ind w:right="71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>Świętokrzyski Wojewódzki Inspektor Inspekcji Handlowej ustalił i stwierdził:</w:t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Zgodnie z art. 17 ust. 1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rozporządzenia 178/2002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Ustawa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stanowi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w art. 4 ust. 1,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że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wprowadzane do obrotu artykuły rolno-spożywcze powinny spełniać wymagania w zakresie jakości handlowej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jeżeli w przepisach o jakości handlowej zostały określone takie wymagania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, oraz dodatkowe wymagania dotyczące tych artykułów, jeżeli ich spełnienie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zostało zadeklarowane przez producenta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Jak wynika z przepisu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pl-PL"/>
        </w:rPr>
        <w:t>art. 3 pkt 5 ustawy o jakości handlowej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przez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jakość handlową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należy rozumieć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 xml:space="preserve">cechy artykułu rolno-spożywczego dotyczące jego właściwości organoleptycznych, fizykochemicznych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i mikrobiologicznych w zakresie technologii produkcji, wielkości lub masy oraz wymagania wynikające ze sposobu produkcji, opakowania,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pl-PL"/>
        </w:rPr>
        <w:t>prezentacji i oznakowania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nieobjęte wymaganiami sanitarnymi, weterynaryjnymi lub fitosanitarnymi.</w:t>
      </w:r>
    </w:p>
    <w:p>
      <w:pPr>
        <w:pStyle w:val="Normal"/>
        <w:suppressAutoHyphens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Natomiast zgodnie z art. 3 pkt 10 ww. ustawy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artykuł rolno-spożywczy zafałszowany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a)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dokonano zabiegów, które zmieniły lub ukryły jego rzeczywisty skład lub nadały mu wygląd produktu zgodnego z przepisami dotyczącymi jakości handlowej,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b)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w oznakowaniu podano nazwę niezgodną z przepisami dotyczącymi jakości handlowej poszczególnych artykułów rolno-spożywczych albo niezgodną z prawdą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,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Batang" w:cs="Times New Roman"/>
          <w:sz w:val="24"/>
          <w:szCs w:val="24"/>
          <w:lang w:eastAsia="zh-CN" w:bidi="hi-IN"/>
        </w:rPr>
      </w:pP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 xml:space="preserve">c) </w:t>
      </w:r>
      <w:r>
        <w:rPr>
          <w:rFonts w:eastAsia="Batang" w:cs="Times New Roman" w:ascii="Times New Roman" w:hAnsi="Times New Roman"/>
          <w:bCs/>
          <w:sz w:val="24"/>
          <w:szCs w:val="24"/>
          <w:lang w:eastAsia="zh-CN" w:bidi="hi-IN"/>
        </w:rPr>
        <w:t>w oznakowaniu podano niezgodne z prawdą dane w zakresie składu,</w:t>
      </w:r>
      <w:r>
        <w:rPr>
          <w:rFonts w:eastAsia="Batang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sz w:val="24"/>
          <w:szCs w:val="24"/>
          <w:lang w:eastAsia="zh-CN" w:bidi="hi-IN"/>
        </w:rPr>
        <w:t>pochodzenia, terminu przydatności do spożycia lub daty minimalnej trwałości, zawartości netto lub klasy jakości handlowej.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Wymagania szczególne jakości handlowej w zakresie oznakowania żywności zostały określone w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>rozporządzeniu Parlamentu Europejskiego i Rady (WE) nr 1169/2011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Rozporządzenie to stanowi podstawę zapewnienia wysokiego poziomu ochrony konsumentów w zakresie informacji na temat żywności, przy uwzględnieniu różnic percepcji ze strony konsumentów i ich potrzeb informacyjnych, z równoczesnym zapewnieniem płynnego funkcjonowania rynku wewnętrznego. Określa ogólne zasady, wymogi i zakresy odpowiedzialności dotyczące informacji na temat żywności, a w szczególności etykietowania żywności. Ustanawia ono środki gwarantujące konsumentom prawo do informacji oraz procedury przekazywania informacji na temat żywności, przy uwzględnieniu konieczności zapewnienia elastyczności wystarczającej do reagowania na przyszłe zmiany i nowe wymogi w zakresie informacji.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W myśl przepisu art. 6 ww.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–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każdemu środkowi spożywczemu przeznaczonemu do dostarczenia konsumentowi finalnemu lub do zakładów żywienia zbiorowego muszą towarzyszyć informacje na temat żywności zgodne z tym rozporządzeniem.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Artykuł 7 ust. 1 lit a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1169/2011 -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informacje na temat żywności nie mogą wprowadzać w błąd, w szczególności co do właściwości środka spożywczego, a w szczególności co do jego </w:t>
      </w:r>
      <w:r>
        <w:rPr>
          <w:rFonts w:eastAsia="SimSun" w:cs="Times New Roman" w:ascii="Times New Roman" w:hAnsi="Times New Roman"/>
          <w:bCs/>
          <w:sz w:val="24"/>
          <w:szCs w:val="24"/>
          <w:lang w:eastAsia="zh-CN" w:bidi="hi-IN"/>
        </w:rPr>
        <w:t>charakteru, tożsamości, właściwości, składu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ilości, trwałości, kraju lub miejsca pochodzenia, metod wytwarzania lub produkcji. Ponadto muszą być rzetelne, jasne i łatwe do zrozumienia dla konsumenta (ust. 2 ww. rozporządzenia).</w:t>
      </w:r>
    </w:p>
    <w:p>
      <w:pPr>
        <w:pStyle w:val="Normal"/>
        <w:suppressAutoHyphens w:val="true"/>
        <w:overflowPunct w:val="tru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Odnosząc się do wyżej przytoczonych przepisów prawa, po dokładnej analizie wykrytych nieprawidłowości, - należy stwierdzić, że wykryta, znaczna niedowaga nadzienia w badanym wyrobie kulinarnym - świadczy o ich zafałszowaniu.</w:t>
      </w:r>
    </w:p>
    <w:p>
      <w:pPr>
        <w:pStyle w:val="Normal"/>
        <w:suppressAutoHyphens w:val="true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bCs/>
          <w:color w:val="000000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zh-CN" w:bidi="hi-IN"/>
        </w:rPr>
        <w:t xml:space="preserve">Natomiast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z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godnie z art. 40a ust. 1 pkt 4 ustawy o jakości handlowej,</w:t>
      </w:r>
      <w:r>
        <w:rPr>
          <w:rFonts w:eastAsia="SimSun" w:cs="Times New Roman" w:ascii="Times New Roman" w:hAnsi="Times New Roman"/>
          <w:b/>
          <w:bCs/>
          <w:i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kto wprowadza do obrotu artykuły rolno – spożywcze zafałszowane podlega karze pieniężnej w wysokości nie wyższej niż 10% przychodu osiągniętego w roku rozliczeniowym poprzedzającym rok nałożenia kary, nie niższej jednak niż 1000 zł.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myśl art 104 K.P.A. </w:t>
      </w:r>
      <w:r>
        <w:rPr>
          <w:rFonts w:eastAsia="SimSun" w:cs="Times New Roman" w:ascii="Times New Roman" w:hAnsi="Times New Roman"/>
          <w:b/>
          <w:sz w:val="24"/>
          <w:szCs w:val="24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>
      <w:pPr>
        <w:pStyle w:val="Normal"/>
        <w:spacing w:lineRule="auto" w:line="360" w:before="0" w:after="0"/>
        <w:ind w:right="71" w:firstLine="709"/>
        <w:jc w:val="both"/>
        <w:rPr>
          <w:rFonts w:ascii="Times New Roman" w:hAnsi="Times New Roman" w:eastAsia="SimSun" w:cs="Times New Roman"/>
          <w:b/>
          <w:b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567" w:leader="none"/>
        </w:tabs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Ustalając w przedmiotowej sprawie wysokość kary pieniężnej z tytułu wprowadzenia do obrotu przez przedsiębiorcę</w:t>
      </w:r>
      <w:r>
        <w:rPr>
          <w:rFonts w:cs="Times New Roman" w:ascii="Times New Roman" w:hAnsi="Times New Roman"/>
          <w:sz w:val="24"/>
          <w:szCs w:val="24"/>
        </w:rPr>
        <w:t xml:space="preserve"> Przetwórnia Mięsa Kamiński Spółka z ograniczoną odpowiedzialnością Spółka komandytowa z siedzibą w Kielcach </w:t>
      </w:r>
      <w:r>
        <w:rPr>
          <w:rFonts w:eastAsia="Lucida Sans Unicode" w:cs="Times New Roman" w:ascii="Times New Roman" w:hAnsi="Times New Roman"/>
          <w:sz w:val="24"/>
          <w:szCs w:val="24"/>
          <w:lang w:eastAsia="zh-CN" w:bidi="hi-IN"/>
        </w:rPr>
        <w:t>– zafałszowanej partii pierogów-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Świętokrzyski Wojewódzki Inspektor Inspekcji Handlowej zgodnie art. 40a ust. 5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 xml:space="preserve">ustawy o jakości handlowej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uwzględnił: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bCs/>
          <w:iCs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Stopień szkodliwości czynu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- w zakresie naruszenia </w:t>
      </w:r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>z art. 40a ust.1 pkt. 4 należy stwierdzić, że stopień społecznej szkodliwości jest wysoki. Przeprowadzone bania laboratoryjne pierogów wykazały niedowagę nadzienia na poziomie 14,1%</w:t>
      </w:r>
      <w:bookmarkStart w:id="4" w:name="_GoBack"/>
      <w:bookmarkEnd w:id="4"/>
      <w:r>
        <w:rPr>
          <w:rFonts w:eastAsia="SimSun" w:cs="Times New Roman" w:ascii="Times New Roman" w:hAnsi="Times New Roman"/>
          <w:bCs/>
          <w:iCs/>
          <w:sz w:val="24"/>
          <w:szCs w:val="24"/>
          <w:lang w:eastAsia="zh-CN" w:bidi="hi-IN"/>
        </w:rPr>
        <w:t xml:space="preserve">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Taka praktyka 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wprowadza w błąd, co do ilości środka spożywczego, a w szczególności co do jego składu. W rzeczywistości konsument otrzymywał mniej produktu w tej samej cenie niż było zadeklarowane w oznakowaniu.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Zakres naruszenia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>- stwierdzono naruszenia wymagań w zakresie składu rzeczonej partii pierogów, określonych w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powszechnie obowiązującym polskim i europejskim prawie żywnościowym tj.: w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zh-CN" w:bidi="hi-IN"/>
        </w:rPr>
        <w:t>u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zh-CN" w:bidi="hi-IN"/>
        </w:rPr>
        <w:t>stawie o jakości handlowej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Batang" w:cs="Times New Roman" w:ascii="Times New Roman" w:hAnsi="Times New Roman"/>
          <w:iCs/>
          <w:color w:val="00000A"/>
          <w:sz w:val="24"/>
          <w:szCs w:val="24"/>
          <w:lang w:eastAsia="zh-CN" w:bidi="hi-IN"/>
        </w:rPr>
        <w:t>oraz</w:t>
      </w:r>
      <w:r>
        <w:rPr>
          <w:rFonts w:eastAsia="Batang" w:cs="Times New Roman" w:ascii="Times New Roman" w:hAnsi="Times New Roman"/>
          <w:i/>
          <w:iCs/>
          <w:color w:val="00000A"/>
          <w:sz w:val="24"/>
          <w:szCs w:val="24"/>
          <w:lang w:eastAsia="zh-CN" w:bidi="hi-IN"/>
        </w:rPr>
        <w:t xml:space="preserve"> rozporządzeniu 1169/2011.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Palatino Linotype" w:cs="Times New Roman"/>
          <w:color w:val="000000"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>Dotychczasowa działalność przedsiębiorcy –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w okresie ostatnich 24 miesięcy wobec kontrolowanego przedsiębiorcy 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nie toczyło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bCs/>
          <w:sz w:val="24"/>
          <w:szCs w:val="24"/>
          <w:lang w:eastAsia="zh-CN" w:bidi="hi-IN"/>
        </w:rPr>
      </w:pPr>
      <w:r>
        <w:rPr>
          <w:rFonts w:eastAsia="Palatino Linotype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Wielkość obrotu i przychodu– </w:t>
      </w:r>
      <w:r>
        <w:rPr>
          <w:rFonts w:eastAsia="Palatino Linotype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strona przedstawiła informację o </w:t>
      </w:r>
      <w:r>
        <w:rPr>
          <w:rFonts w:eastAsia="Lucida Sans Unicode" w:cs="Times New Roman" w:ascii="Times New Roman" w:hAnsi="Times New Roman"/>
          <w:bCs/>
          <w:sz w:val="24"/>
          <w:szCs w:val="24"/>
          <w:lang w:eastAsia="zh-CN" w:bidi="hi-IN"/>
        </w:rPr>
        <w:t>wysokości osiągniętego przychodu i obrotach w ostatnim roku rozliczeniowym.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Lucida Sans Unicode" w:cs="Times New Roman" w:ascii="Times New Roman" w:hAnsi="Times New Roman"/>
          <w:b/>
          <w:bCs/>
          <w:sz w:val="24"/>
          <w:szCs w:val="24"/>
          <w:lang w:eastAsia="zh-CN" w:bidi="hi-IN"/>
        </w:rPr>
        <w:t>Wartość kontrolowanych artykułów rolno – spożywczych</w:t>
      </w:r>
      <w:bookmarkStart w:id="5" w:name="_Hlk518378517"/>
      <w:bookmarkEnd w:id="5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  <w:t xml:space="preserve"> – 54,50 zł</w:t>
      </w:r>
    </w:p>
    <w:p>
      <w:pPr>
        <w:pStyle w:val="Normal"/>
        <w:suppressAutoHyphens w:val="true"/>
        <w:overflowPunct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>Świętokrzyski Wojewódzki Inspektor Inspekcji Handlowej wymierzając karę w wysokości 1000</w:t>
      </w:r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zł - </w:t>
      </w:r>
      <w:r>
        <w:rPr>
          <w:rFonts w:eastAsia="SimSun" w:cs="Times New Roman" w:ascii="Times New Roman" w:hAnsi="Times New Roman"/>
          <w:color w:val="000000"/>
          <w:sz w:val="24"/>
          <w:szCs w:val="24"/>
          <w:u w:val="single"/>
          <w:lang w:eastAsia="zh-CN" w:bidi="hi-IN"/>
        </w:rPr>
        <w:t>najniższy wymiar kary,</w:t>
      </w:r>
      <w:r>
        <w:rPr>
          <w:rFonts w:eastAsia="SimSu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uwzględnił powyższe przesłanki,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jak również odniósł się do art. 17 ust. 2 </w:t>
      </w:r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rozporządzenia nr 178/2002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, który stanowi, iż</w:t>
      </w:r>
      <w:r>
        <w:rPr>
          <w:rFonts w:eastAsia="SimSun" w:cs="Times New Roman" w:ascii="Times New Roman" w:hAnsi="Times New Roman"/>
          <w:sz w:val="24"/>
          <w:szCs w:val="24"/>
          <w:u w:val="single"/>
          <w:lang w:eastAsia="zh-CN" w:bidi="hi-IN"/>
        </w:rPr>
        <w:t xml:space="preserve"> zastosowana kara powinna być skuteczna, odstraszająca oraz proporcjonalna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. W związku z tym zastosowany środek powinien być właściwy dla osiągnięcia zakładanego celu oraz najmniej uciążliwy.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>Wobec powyższego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Świętokrzyski Wojewódzki Inspektor Inspekcji Handlowej</w:t>
      </w:r>
      <w:r>
        <w:rPr>
          <w:rFonts w:eastAsia="Times New Roman" w:cs="Times New Roman" w:ascii="Times New Roman" w:hAnsi="Times New Roman"/>
          <w:sz w:val="24"/>
          <w:szCs w:val="24"/>
          <w:lang w:eastAsia="zh-CN" w:bidi="hi-IN"/>
        </w:rPr>
        <w:t xml:space="preserve"> orzekł jak w sentencji.</w:t>
      </w:r>
    </w:p>
    <w:p>
      <w:pPr>
        <w:pStyle w:val="Normal"/>
        <w:widowControl w:val="false"/>
        <w:suppressAutoHyphens w:val="true"/>
        <w:spacing w:lineRule="auto" w:line="360" w:before="0" w:after="0"/>
        <w:ind w:right="71" w:firstLine="708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right="74" w:hanging="0"/>
        <w:jc w:val="center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zh-CN" w:bidi="hi-IN"/>
        </w:rPr>
        <w:t>POUCZENIE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overflowPunct w:val="true"/>
        <w:spacing w:lineRule="auto" w:line="240" w:before="0" w:after="0"/>
        <w:ind w:left="0" w:right="57" w:hanging="11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Zgodnie z art. 127 § 1 i 2 oraz art. 129 § 1 i 2 K.P.A.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ind w:left="0" w:right="71" w:hanging="11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Zgodnie z 40a ust. 6 i 7 </w:t>
      </w:r>
      <w:r>
        <w:rPr>
          <w:rFonts w:cs="Times New Roman" w:ascii="Times New Roman" w:hAnsi="Times New Roman"/>
          <w:i/>
          <w:szCs w:val="24"/>
        </w:rPr>
        <w:t>ustawy o jakości handlowej</w:t>
      </w:r>
      <w:r>
        <w:rPr>
          <w:rFonts w:cs="Times New Roman" w:ascii="Times New Roman" w:hAnsi="Times New Roman"/>
          <w:szCs w:val="24"/>
        </w:rPr>
        <w:t xml:space="preserve"> kary pieniężne stanowią dochód budżetu państwa i są wpłacane na rachunek bankowy Wojewódzkiego Inspektoratu Inspekcji Handlowej w Kielcach: </w:t>
      </w:r>
      <w:r>
        <w:rPr>
          <w:rFonts w:cs="Times New Roman" w:ascii="Times New Roman" w:hAnsi="Times New Roman"/>
          <w:b/>
          <w:szCs w:val="24"/>
          <w:u w:val="single"/>
        </w:rPr>
        <w:t xml:space="preserve">NBP O/O KIELCE 42 1010 1238 0804 2222 3100 0000. </w:t>
      </w:r>
      <w:r>
        <w:rPr>
          <w:rFonts w:cs="Times New Roman" w:ascii="Times New Roman" w:hAnsi="Times New Roman"/>
          <w:b/>
          <w:bCs/>
          <w:szCs w:val="24"/>
        </w:rPr>
        <w:t>Termin zapłaty kary pieniężnej wynosi 30 dni od dnia,</w:t>
      </w:r>
      <w:r>
        <w:rPr>
          <w:rFonts w:cs="Times New Roman" w:ascii="Times New Roman" w:hAnsi="Times New Roman"/>
          <w:szCs w:val="24"/>
        </w:rPr>
        <w:t xml:space="preserve"> w którym decyzja o wymierzeniu kary stała się ostateczna.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3.</w:t>
        <w:tab/>
        <w:t xml:space="preserve"> Do należności pieniężnych </w:t>
      </w: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 w:bidi="hi-IN"/>
        </w:rPr>
        <w:t>nie uiszczonych w terminie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 xml:space="preserve"> stosuje się odpowiednio przepisy działu III  </w:t>
      </w:r>
      <w:r>
        <w:rPr>
          <w:rFonts w:eastAsia="SimSun" w:cs="Times New Roman" w:ascii="Times New Roman" w:hAnsi="Times New Roman"/>
          <w:i/>
          <w:sz w:val="24"/>
          <w:szCs w:val="24"/>
          <w:lang w:eastAsia="zh-CN" w:bidi="hi-IN"/>
        </w:rPr>
        <w:t xml:space="preserve">Ustawy z dnia 29 sierpnia 1997.r – Ordynacja podatkowa (tekst jednolity: Dz. U. z 2017r., poz. 201 z późn. zm.). </w:t>
      </w: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right="71" w:hanging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5"/>
        <w:gridCol w:w="4604"/>
      </w:tblGrid>
      <w:tr>
        <w:trPr>
          <w:trHeight w:val="164" w:hRule="atLeast"/>
        </w:trPr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  <w:tc>
          <w:tcPr>
            <w:tcW w:w="460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ind w:right="71" w:hanging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right"/>
        <w:rPr>
          <w:rFonts w:ascii="Times New Roman" w:hAnsi="Times New Roman" w:eastAsia="SimSun" w:cs="Times New Roman"/>
          <w:i/>
          <w:i/>
          <w:iCs/>
          <w:sz w:val="24"/>
          <w:szCs w:val="24"/>
          <w:lang w:eastAsia="zh-CN" w:bidi="hi-IN"/>
        </w:rPr>
      </w:pPr>
      <w:bookmarkStart w:id="6" w:name="__DdeLink__463_2070049392"/>
      <w:bookmarkEnd w:id="6"/>
      <w:r>
        <w:rPr>
          <w:rFonts w:eastAsia="SimSun" w:cs="Times New Roman" w:ascii="Times New Roman" w:hAnsi="Times New Roman"/>
          <w:i/>
          <w:iCs/>
          <w:sz w:val="24"/>
          <w:szCs w:val="24"/>
          <w:lang w:eastAsia="zh-CN" w:bidi="hi-IN"/>
        </w:rPr>
        <w:t>Na oryginale właściwe podpisy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SimSun" w:cs="Times New Roman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b/>
          <w:b/>
          <w:sz w:val="20"/>
          <w:szCs w:val="20"/>
          <w:u w:val="single"/>
          <w:lang w:eastAsia="zh-CN" w:bidi="hi-IN"/>
        </w:rPr>
      </w:pPr>
      <w:bookmarkStart w:id="7" w:name="_Hlk1639526"/>
      <w:r>
        <w:rPr>
          <w:rFonts w:eastAsia="SimSun" w:cs="Times New Roman" w:ascii="Times New Roman" w:hAnsi="Times New Roman"/>
          <w:b/>
          <w:sz w:val="20"/>
          <w:szCs w:val="20"/>
          <w:u w:val="single"/>
          <w:lang w:eastAsia="zh-CN" w:bidi="hi-IN"/>
        </w:rPr>
        <w:t>OTRZYMUJĄ: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Przetwórnia Mięsa Kamiński Spółka z ograniczoną odpowiedzialnością Spółka komandytowa, ul. Otrocz 13, 25-332 Kielce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rPr>
          <w:rFonts w:ascii="Times New Roman" w:hAnsi="Times New Roman" w:eastAsia="SimSun" w:cs="Times New Roman"/>
          <w:sz w:val="20"/>
          <w:szCs w:val="20"/>
          <w:lang w:eastAsia="zh-CN" w:bidi="hi-IN"/>
        </w:rPr>
      </w:pPr>
      <w:bookmarkStart w:id="8" w:name="_Hlk1639526"/>
      <w:bookmarkEnd w:id="8"/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A/a</w:t>
      </w:r>
    </w:p>
    <w:p>
      <w:pPr>
        <w:pStyle w:val="Normal"/>
        <w:suppressAutoHyphens w:val="true"/>
        <w:spacing w:lineRule="auto" w:line="240" w:before="0" w:after="0"/>
        <w:contextualSpacing/>
        <w:rPr/>
      </w:pPr>
      <w:r>
        <w:rPr>
          <w:rFonts w:eastAsia="SimSun" w:cs="Times New Roman" w:ascii="Times New Roman" w:hAnsi="Times New Roman"/>
          <w:sz w:val="20"/>
          <w:szCs w:val="20"/>
          <w:lang w:eastAsia="zh-CN" w:bidi="hi-IN"/>
        </w:rPr>
        <w:t>MP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4249211"/>
    </w:sdtPr>
    <w:sdtContent>
      <w:p>
        <w:pPr>
          <w:pStyle w:val="Stopka"/>
          <w:jc w:val="center"/>
          <w:rPr/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Times New Roman" w:hAnsi="Times New Roman" w:eastAsia="Batang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0bd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0bdf"/>
    <w:rPr/>
  </w:style>
  <w:style w:type="character" w:styleId="Wyrnienie">
    <w:name w:val="Wyróżnienie"/>
    <w:basedOn w:val="DefaultParagraphFont"/>
    <w:uiPriority w:val="20"/>
    <w:qFormat/>
    <w:rsid w:val="00220bdf"/>
    <w:rPr>
      <w:i/>
      <w:iCs/>
    </w:rPr>
  </w:style>
  <w:style w:type="character" w:styleId="ListLabel1">
    <w:name w:val="ListLabel 1"/>
    <w:qFormat/>
    <w:rPr>
      <w:rFonts w:ascii="Times New Roman" w:hAnsi="Times New Roman" w:eastAsia="Batang" w:cs="Times New Roman"/>
      <w:b w:val="false"/>
      <w:bCs w:val="false"/>
      <w:i w:val="false"/>
      <w:i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20bdf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220b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Application>LibreOffice/5.3.2.2$Windows_x86 LibreOffice_project/6cd4f1ef626f15116896b1d8e1398b56da0d0ee1</Application>
  <Pages>8</Pages>
  <Words>2266</Words>
  <Characters>14413</Characters>
  <CharactersWithSpaces>16655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2019-04-08T07:04:00Z</dcterms:created>
  <dc:creator>WIIH</dc:creator>
  <dc:description/>
  <dc:language>pl-PL</dc:language>
  <cp:lastModifiedBy/>
  <dcterms:modified xsi:type="dcterms:W3CDTF">2020-02-20T08:54:49Z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