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INFORMACJA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870585</wp:posOffset>
                </wp:positionH>
                <wp:positionV relativeFrom="paragraph">
                  <wp:posOffset>-601980</wp:posOffset>
                </wp:positionV>
                <wp:extent cx="2875915" cy="25717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571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fillcolor="#FFFFFF" strokecolor="#FFFFFF" strokeweight="0pt" style="position:absolute;width:226.45pt;height:20.25pt;mso-wrap-distance-left:9pt;mso-wrap-distance-right:9pt;mso-wrap-distance-top:0pt;mso-wrap-distance-bottom:0pt;margin-top:-47.4pt;mso-position-vertical-relative:text;margin-left:68.55pt;mso-position-horizontal-relative:text">
                <v:textbox>
                  <w:txbxContent>
                    <w:p>
                      <w:pPr>
                        <w:pStyle w:val="Zawartoramki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o wynikach kontroli bezpieczeństwa zabawek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Times New Roman"/>
        </w:rPr>
      </w:pPr>
      <w:r>
        <w:rPr>
          <w:b/>
          <w:sz w:val="24"/>
          <w:szCs w:val="24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Times New Roman"/>
        </w:rPr>
      </w:pPr>
      <w:r>
        <w:rPr>
          <w:b/>
          <w:sz w:val="24"/>
          <w:szCs w:val="24"/>
        </w:rPr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IV kwartał 2018 rok 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Cel kontroli:</w:t>
      </w:r>
      <w:r>
        <w:rPr>
          <w:sz w:val="24"/>
          <w:szCs w:val="24"/>
        </w:rPr>
        <w:t xml:space="preserve"> sprawdzenie i ocena, czy wprowadzone do obrotu zabawki spełniają wymagania określone w przepisach rozporządzenia Ministra Rozwoju i Finansów z dnia 20 października 2016 r. w sprawie wymagań dla zabawek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oraz czy podmioty gospodarcze naruszyły obowiązki wynikające z ustawy z dnia 13 kwietnia 2016 r. o systemach oceny zgodności i nadzoru rynku</w:t>
      </w:r>
      <w:r>
        <w:rPr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Zakres podmiotowy kontroli</w:t>
      </w:r>
      <w:r>
        <w:rPr>
          <w:bCs/>
          <w:sz w:val="24"/>
          <w:szCs w:val="24"/>
        </w:rPr>
        <w:t xml:space="preserve">: kontrolami </w:t>
      </w:r>
      <w:r>
        <w:rPr>
          <w:sz w:val="24"/>
          <w:szCs w:val="24"/>
        </w:rPr>
        <w:t>objęto 6 przedsiębiorców, w tym:</w:t>
      </w:r>
      <w:r/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sprzedawców hurtowych, </w:t>
      </w:r>
      <w:r/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placówkę sprzedaży detalicznej, </w:t>
      </w:r>
      <w:r/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 sklepy wielkopowierzchniowe.</w:t>
      </w:r>
      <w:r/>
    </w:p>
    <w:p>
      <w:pPr>
        <w:pStyle w:val="Normal"/>
        <w:spacing w:before="120" w:after="120"/>
        <w:ind w:left="720" w:hanging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spacing w:before="120" w:after="12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Zakres przedmiotowy kontroli:</w:t>
      </w:r>
      <w:r>
        <w:rPr>
          <w:sz w:val="24"/>
          <w:szCs w:val="24"/>
        </w:rPr>
        <w:t xml:space="preserve"> skontrolowano 51 zabawek, w tym:</w:t>
      </w:r>
      <w:r/>
    </w:p>
    <w:p>
      <w:pPr>
        <w:pStyle w:val="ListParagraph"/>
        <w:numPr>
          <w:ilvl w:val="0"/>
          <w:numId w:val="6"/>
        </w:numPr>
        <w:spacing w:before="120" w:after="120"/>
        <w:contextualSpacing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45 pochodzących z importu,</w:t>
      </w:r>
      <w:r/>
    </w:p>
    <w:p>
      <w:pPr>
        <w:pStyle w:val="ListParagraph"/>
        <w:numPr>
          <w:ilvl w:val="0"/>
          <w:numId w:val="6"/>
        </w:numPr>
        <w:spacing w:before="120" w:after="120"/>
        <w:contextualSpacing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4 wyprodukowane w Polsce,</w:t>
      </w:r>
      <w:r/>
    </w:p>
    <w:p>
      <w:pPr>
        <w:pStyle w:val="ListParagraph"/>
        <w:numPr>
          <w:ilvl w:val="0"/>
          <w:numId w:val="6"/>
        </w:numPr>
        <w:spacing w:before="120" w:after="120"/>
        <w:contextualSpacing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2 o nieokreślonym w oznakowaniu kraju pochodzenia.</w:t>
      </w:r>
      <w:r/>
    </w:p>
    <w:p>
      <w:pPr>
        <w:pStyle w:val="ListParagraph"/>
        <w:spacing w:before="120" w:after="120"/>
        <w:ind w:left="780" w:hanging="0"/>
        <w:contextualSpacing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spacing w:before="60" w:after="6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Wyniki kontroli</w:t>
      </w:r>
      <w:r>
        <w:rPr>
          <w:sz w:val="24"/>
          <w:szCs w:val="24"/>
        </w:rPr>
        <w:t>: łącznie zakwestionowano 3 zabawki z importu,  pochodzenia chińskiego,</w:t>
      </w:r>
      <w:r/>
    </w:p>
    <w:p>
      <w:pPr>
        <w:pStyle w:val="Normal"/>
        <w:spacing w:before="60" w:after="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(5,9% proc. ogółu skontrolowanych). </w:t>
      </w:r>
      <w:r/>
    </w:p>
    <w:p>
      <w:pPr>
        <w:pStyle w:val="Normal"/>
        <w:spacing w:before="60" w:after="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dzień dzisiejszy inspektorat nie posiada wyników badań laboratoryjnych  w zakresie </w:t>
      </w:r>
      <w:r/>
    </w:p>
    <w:p>
      <w:pPr>
        <w:pStyle w:val="Normal"/>
        <w:spacing w:before="60" w:after="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ftalanów i opóźniaczy palenia dla 2 zabawek. </w:t>
      </w:r>
      <w:r/>
    </w:p>
    <w:p>
      <w:pPr>
        <w:pStyle w:val="Normal"/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spacing w:before="120" w:after="120"/>
        <w:jc w:val="both"/>
        <w:rPr>
          <w:sz w:val="24"/>
          <w:b/>
          <w:sz w:val="24"/>
          <w:b/>
          <w:szCs w:val="24"/>
        </w:rPr>
      </w:pPr>
      <w:r>
        <w:rPr>
          <w:b/>
          <w:bCs/>
          <w:sz w:val="24"/>
          <w:szCs w:val="24"/>
          <w:shd w:fill="FFFFFF" w:val="clear"/>
          <w:lang w:val="en-GB"/>
        </w:rPr>
        <w:t>Kategorie kontrolowanych zabawek: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>lalki -  8,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>dla niemowląt do oglądania, chwytania i ściskania  - 9,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wypełnione cieczą – gryzaki - 2,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>rozwijające umiejętności  - 8,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>materiały artystyczne i rzemieślnicze -  4,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>farby do malowania palcami dla dzieci poniżej 3 lat – 1,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zestaw flamastrów - 2,</w:t>
      </w:r>
      <w:r/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>przedstawiające różne sceny i gotowe modele - 2,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>miękkie wypchane - 1,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 xml:space="preserve">instrumenty muzyczne  - </w:t>
      </w:r>
      <w:r>
        <w:rPr>
          <w:bCs/>
          <w:i/>
          <w:sz w:val="24"/>
          <w:szCs w:val="24"/>
          <w:shd w:fill="FFFFFF" w:val="clear"/>
          <w:lang w:val="en-GB"/>
        </w:rPr>
        <w:t xml:space="preserve"> </w:t>
      </w:r>
      <w:r>
        <w:rPr>
          <w:bCs/>
          <w:sz w:val="24"/>
          <w:szCs w:val="24"/>
          <w:shd w:fill="FFFFFF" w:val="clear"/>
          <w:lang w:val="en-GB"/>
        </w:rPr>
        <w:t>7,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i/>
          <w:sz w:val="24"/>
          <w:i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>do pociągania i popychania  - 1</w:t>
      </w:r>
      <w:r>
        <w:rPr>
          <w:bCs/>
          <w:i/>
          <w:sz w:val="24"/>
          <w:szCs w:val="24"/>
          <w:shd w:fill="FFFFFF" w:val="clear"/>
          <w:lang w:val="en-GB"/>
        </w:rPr>
        <w:t>,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414" w:leader="none"/>
        </w:tabs>
        <w:suppressAutoHyphens w:val="true"/>
        <w:spacing w:before="120" w:after="0"/>
        <w:jc w:val="both"/>
        <w:rPr>
          <w:sz w:val="24"/>
          <w:sz w:val="24"/>
          <w:szCs w:val="24"/>
        </w:rPr>
      </w:pPr>
      <w:r>
        <w:rPr>
          <w:bCs/>
          <w:sz w:val="24"/>
          <w:szCs w:val="24"/>
          <w:shd w:fill="FFFFFF" w:val="clear"/>
          <w:lang w:val="en-GB"/>
        </w:rPr>
        <w:t>maski i stroje karnawałowe -  6.</w:t>
      </w:r>
      <w:r/>
    </w:p>
    <w:p>
      <w:pPr>
        <w:pStyle w:val="Normal"/>
        <w:spacing w:before="60" w:after="6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spacing w:before="24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Stwierdzono następujące niezgodności formalne: </w:t>
      </w:r>
      <w:r/>
    </w:p>
    <w:p>
      <w:pPr>
        <w:pStyle w:val="Normal"/>
        <w:numPr>
          <w:ilvl w:val="0"/>
          <w:numId w:val="1"/>
        </w:numPr>
        <w:spacing w:before="120" w:after="120"/>
        <w:jc w:val="both"/>
        <w:rPr>
          <w:sz w:val="24"/>
          <w:sz w:val="24"/>
          <w:szCs w:val="24"/>
        </w:rPr>
      </w:pPr>
      <w:r>
        <w:rPr>
          <w:bCs/>
          <w:sz w:val="22"/>
          <w:szCs w:val="22"/>
        </w:rPr>
        <w:t>brak danych producenta – w 1 przypadku</w:t>
      </w:r>
      <w:r>
        <w:rPr>
          <w:sz w:val="24"/>
          <w:szCs w:val="24"/>
        </w:rPr>
        <w:t xml:space="preserve"> (lalka „Barbara”, wprowadzający HH Poland           S. A., ul. Toszecka 101, 44-100 Gliwice),</w:t>
      </w:r>
      <w:r/>
    </w:p>
    <w:p>
      <w:pPr>
        <w:pStyle w:val="Normal"/>
        <w:numPr>
          <w:ilvl w:val="0"/>
          <w:numId w:val="1"/>
        </w:numPr>
        <w:spacing w:before="120" w:after="120"/>
        <w:jc w:val="both"/>
        <w:rPr>
          <w:sz w:val="24"/>
          <w:sz w:val="24"/>
          <w:szCs w:val="24"/>
        </w:rPr>
      </w:pPr>
      <w:r>
        <w:rPr>
          <w:bCs/>
          <w:sz w:val="22"/>
          <w:szCs w:val="22"/>
        </w:rPr>
        <w:t xml:space="preserve">brak danych importera – w 1 przypadku </w:t>
      </w:r>
      <w:r>
        <w:rPr>
          <w:sz w:val="24"/>
          <w:szCs w:val="24"/>
        </w:rPr>
        <w:t>(lalka „Barbara”)</w:t>
      </w:r>
      <w:r>
        <w:rPr>
          <w:bCs/>
          <w:sz w:val="22"/>
          <w:szCs w:val="22"/>
        </w:rPr>
        <w:t>,</w:t>
      </w:r>
      <w:r/>
    </w:p>
    <w:p>
      <w:pPr>
        <w:pStyle w:val="Normal"/>
        <w:numPr>
          <w:ilvl w:val="0"/>
          <w:numId w:val="1"/>
        </w:numPr>
        <w:spacing w:before="12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niedołączenie do ostrzeżenia „0-3” informacji o szczególnych zagrożeniach                                             w 2 przypadkach (lalka „Barbara” wprowadzający HH Poland  S. A., ul. Toszecka 101, 44-100 Gliwice i strój do przebierania – szkielet świecący w  ciemności „DINO” wprowadzający PEPCO Poland Sp. z o. o. 60-479 Poznań  ul. Strzeszyńska 73A),</w:t>
      </w:r>
      <w:r/>
    </w:p>
    <w:p>
      <w:pPr>
        <w:pStyle w:val="Normal"/>
        <w:numPr>
          <w:ilvl w:val="0"/>
          <w:numId w:val="1"/>
        </w:numPr>
        <w:spacing w:before="12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nieumieszczenie słowa „OSTRZEŻENIE” przed ostrzeżeniem „0-3” w 2 przypadkach (lalka „Barbara” i strój do przebierania – szkielet świecący w  ciemności „DINO”).</w:t>
      </w:r>
      <w:r/>
    </w:p>
    <w:p>
      <w:pPr>
        <w:pStyle w:val="Normal"/>
        <w:spacing w:before="120" w:after="120"/>
        <w:ind w:left="720" w:hanging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spacing w:before="120" w:after="12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Badania laboratoryjne</w:t>
      </w:r>
      <w:r>
        <w:rPr>
          <w:sz w:val="24"/>
          <w:szCs w:val="24"/>
        </w:rPr>
        <w:t xml:space="preserve"> :</w:t>
      </w:r>
      <w:r/>
    </w:p>
    <w:p>
      <w:pPr>
        <w:pStyle w:val="Normal"/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spacing w:before="12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Łącznie przekazano do badań 10 zabawek. Dwie zabawki są  w trakcie badania przez laboratorium w Łodzi. </w:t>
      </w:r>
      <w:r/>
    </w:p>
    <w:p>
      <w:pPr>
        <w:pStyle w:val="Normal"/>
        <w:spacing w:before="12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Tak więc na 8 zbadanych zabawek zakwestionowano 2 zabawki. </w:t>
      </w:r>
      <w:r/>
    </w:p>
    <w:p>
      <w:pPr>
        <w:pStyle w:val="Normal"/>
        <w:spacing w:before="120" w:after="12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 xml:space="preserve">W Specjalistycznym Laboratorium Badania Zabawek w Lublinie </w:t>
      </w:r>
      <w:r>
        <w:rPr>
          <w:sz w:val="24"/>
          <w:szCs w:val="24"/>
        </w:rPr>
        <w:t>przeprowadzono łącznie badania 4 próbek zabawek, nie stwierdzając niezgodności w zakresie konstrukcji, wykonania i zastosowanych materiałów.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W Specjalistycznym Laboratorium Produktów Włókienniczych i Analizy Instrumentalnej w Łodzi</w:t>
      </w:r>
      <w:r>
        <w:rPr>
          <w:sz w:val="24"/>
          <w:szCs w:val="24"/>
        </w:rPr>
        <w:t xml:space="preserve"> przeprowadzonych zostanie 6 badań laboratoryjnych zabawek pod kątem występowania niedozwolonych substancji chemicznych, takich jak: 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ftalany</w:t>
      </w:r>
      <w:r>
        <w:rPr>
          <w:sz w:val="24"/>
          <w:szCs w:val="24"/>
        </w:rPr>
        <w:t>, stwierdzono przekroczenie dopuszczalnego stężenia ftalanów  w 1 zabawce na 3 zbadane w zakresie ftalanów (33,3% proc zbadanych). Jedna zabawka w trakcie badań;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konserwanty</w:t>
      </w:r>
      <w:r>
        <w:rPr>
          <w:sz w:val="24"/>
          <w:szCs w:val="24"/>
        </w:rPr>
        <w:t xml:space="preserve"> stwierdzono je w 1 zabawce  na 1 zbadaną w zakresie konserwantów (100 % proc zbadanych);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oraz </w:t>
      </w:r>
      <w:r>
        <w:rPr>
          <w:b/>
          <w:sz w:val="24"/>
          <w:szCs w:val="24"/>
        </w:rPr>
        <w:t xml:space="preserve">opóźniacze palenia – </w:t>
      </w:r>
      <w:r>
        <w:rPr>
          <w:sz w:val="24"/>
          <w:szCs w:val="24"/>
        </w:rPr>
        <w:t>będzie zbadana 1 zabawka, próbka w trakcie badań.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Przykłady: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>/ Lalka „Barbara” item no T2077, nr art. HM 164071, kod 5905698173379, importer                  HH Poland S. A., ul. Toszecka 101, 44-100 Gliwice</w:t>
      </w:r>
      <w:r>
        <w:rPr>
          <w:sz w:val="24"/>
          <w:szCs w:val="24"/>
        </w:rPr>
        <w:t xml:space="preserve">  - stwierdzono zawartość ftalanu bis (2-etyloheksylu) (DEHP) w ilości (29,4±4,8)% (w głowie lalki), przy dopuszczalnym limicie nie więcej niż 0,1% w stosunku do masy materiału z dodatkiem plastyfikatorów w zabawkach,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/ Farbki do malowania palcami Finger Paint 8 kolorów przeznaczone dla dzieci od 2 roku życia, art. Nr H6781, batch no CN-8411, kod 5907700602525, importer HIPO Sp. J. 05-870 Błonie, Bieniewo Parcela  27,</w:t>
      </w:r>
      <w:r>
        <w:rPr>
          <w:sz w:val="24"/>
          <w:szCs w:val="24"/>
        </w:rPr>
        <w:t xml:space="preserve"> stwierdzono przekroczenie dopuszczalnych zawartości substancji chemicznych - konserwantów (BIT, CMI, MI). Na 8 kolorów, w 7 stwierdzono przekroczenie      i tak: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CMI </w:t>
      </w:r>
      <w:bookmarkStart w:id="0" w:name="_Hlk534620781"/>
      <w:r>
        <w:rPr>
          <w:b/>
          <w:sz w:val="24"/>
          <w:szCs w:val="24"/>
        </w:rPr>
        <w:t>-  wartość wg wymagań  nie więcej niż 0,75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Stwierdzono: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granatowej 36 mg/kg, niepewność wyniku ±11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zielonej 11,9 mg/kg±3,5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bookmarkEnd w:id="0"/>
      <w:r>
        <w:rPr>
          <w:sz w:val="24"/>
          <w:szCs w:val="24"/>
        </w:rPr>
        <w:t>- w farbie czerwonej 31,9 mg/kg±9,3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żółtej 6,7 mg/kg±2,0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pomarańczowej 5,3 mg/kg±1,6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niebieskiej 10,1 mg/kg±3,0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fioletowej 4,0mg/kg±1,5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MI --  wartość wg wymagań  nie więcej niż 0,25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Stwierdzono: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bookmarkStart w:id="1" w:name="_Hlk534620981"/>
      <w:bookmarkEnd w:id="1"/>
      <w:r>
        <w:rPr>
          <w:sz w:val="24"/>
          <w:szCs w:val="24"/>
        </w:rPr>
        <w:t>- w farbie granatowej 29,1 mg/kg ±8,8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zielonej 10,9 mg/kg±3,3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czerwonej 19,4 mg/kg±5,9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bookmarkStart w:id="2" w:name="_Hlk534620981"/>
      <w:bookmarkEnd w:id="2"/>
      <w:r>
        <w:rPr>
          <w:sz w:val="24"/>
          <w:szCs w:val="24"/>
        </w:rPr>
        <w:t>- w farbie żółtej 21,3 mg/kg±6,4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pomarańczowej 9,4 mg/kg±2,9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niebieskiej 15,7 mg/kg±4,8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fioletowej 9,3 mg/kg±2,8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BIT – wartość wg wymagań nie więcej niż 5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Stwierdzono: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granatowej 31,9 mg/kg ±9,0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- w farbie zielonej </w:t>
      </w:r>
      <w:bookmarkStart w:id="3" w:name="_Hlk534621481"/>
      <w:r>
        <w:rPr>
          <w:sz w:val="24"/>
          <w:szCs w:val="24"/>
        </w:rPr>
        <w:t>&gt; 100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bookmarkEnd w:id="3"/>
      <w:r>
        <w:rPr>
          <w:sz w:val="24"/>
          <w:szCs w:val="24"/>
        </w:rPr>
        <w:t>- w farbie czerwonej  34,1 mg/kg ± 9,6 mg/kg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żółtej 30,0 mg/kg±8,4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- w farbie pomarańczowej  </w:t>
      </w:r>
      <w:bookmarkStart w:id="4" w:name="_Hlk534621557"/>
      <w:bookmarkEnd w:id="4"/>
      <w:r>
        <w:rPr>
          <w:sz w:val="24"/>
          <w:szCs w:val="24"/>
        </w:rPr>
        <w:t>&gt; 100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niebieskiej &gt; 100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w farbie fioletowej &gt; 100 mg/kg,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Działania Inspekcji Handlowej:</w:t>
      </w:r>
      <w:r>
        <w:rPr>
          <w:sz w:val="24"/>
          <w:szCs w:val="24"/>
        </w:rPr>
        <w:t xml:space="preserve"> w przypadku niezgodności formalnych inspektorzy IH wzywali przedsiębiorców do podjęcia dobrowolnych działań naprawczych łącznie 2 razy.         W 2 przypadkach podmioty gospodarcze - importerzy (</w:t>
      </w:r>
      <w:r>
        <w:rPr>
          <w:i/>
          <w:sz w:val="24"/>
          <w:szCs w:val="24"/>
        </w:rPr>
        <w:t xml:space="preserve">HH POLAND S. A. ul. Toszecka 101,      44-100 Gliwice i  PEPCO POLAND Sp. z o. o. ul. Strzeszyńska 73A, 66-479 Poznań) </w:t>
      </w:r>
      <w:r>
        <w:rPr>
          <w:sz w:val="24"/>
          <w:szCs w:val="24"/>
        </w:rPr>
        <w:t>podjęli działania naprawcze.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i/>
          <w:sz w:val="24"/>
          <w:i/>
          <w:szCs w:val="24"/>
        </w:rPr>
      </w:pPr>
      <w:r>
        <w:rPr>
          <w:b/>
          <w:sz w:val="24"/>
          <w:szCs w:val="24"/>
        </w:rPr>
        <w:t>Działania UOKiK:</w:t>
      </w:r>
      <w:r>
        <w:rPr>
          <w:sz w:val="24"/>
          <w:szCs w:val="24"/>
        </w:rPr>
        <w:t xml:space="preserve"> inspektorzy IH skierowali do Prezesa UOKiK, akta  z dwóch kontroli z wnioskiem o wszczęcie postępowania administracyjnego, które obejmowały łącznie 2 zabawki </w:t>
      </w:r>
      <w:bookmarkStart w:id="5" w:name="_GoBack"/>
      <w:bookmarkEnd w:id="5"/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dot. lalki „Barbara”  firmy HH Poland  i farb do malowania palcami firmy HIPO). 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b/>
          <w:sz w:val="24"/>
          <w:b/>
          <w:szCs w:val="24"/>
          <w:rFonts w:ascii="Times New Roman" w:hAnsi="Times New Roman" w:eastAsia="Times New Roman"/>
        </w:rPr>
      </w:pPr>
      <w:r>
        <w:rPr>
          <w:b/>
          <w:sz w:val="24"/>
          <w:szCs w:val="24"/>
        </w:rPr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>Wnioski:</w:t>
      </w:r>
      <w:r>
        <w:rPr>
          <w:sz w:val="24"/>
          <w:szCs w:val="24"/>
        </w:rPr>
        <w:t xml:space="preserve"> 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Palatino Linotype" w:hAnsi="Palatino Linotype" w:cs="Palatino Linotype"/>
        </w:rPr>
      </w:pPr>
      <w:r>
        <w:rPr>
          <w:sz w:val="24"/>
          <w:szCs w:val="24"/>
        </w:rPr>
        <w:br/>
        <w:tab/>
        <w:t>Porównując wyniki kontroli bieżących (niepełne) do wyników za  II kwartał roku 2018, należy stwierdzić spadek odsetka stwierdzonych nieprawidłowości  -  o 3,9%. Podczas poprzedniej kontroli zakwestionowano łącznie 9,8 %  zabawek objętych sprawdzeniem.  Obecny wynik to 5,9% (bez dwóch zabawek będących w badaniu).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ab/>
        <w:t>Ujawnione niezgodności dotyczyły oznakowania i właściwości chemicznych – przekroczonych zawartości  ftalanów i konserwantów. W bieżącym kwartale nie kwestionowano zabawek w zakresie ich wykonania i konstrukcji.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ab/>
        <w:t>Materiały zebrane w toku bieżących kontroli  i wyniki  tych kontroli przemawiają za prowadzeniem dalszego systematycznego nadzoru w obszarze tej grupy towarów.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Tretekstu"/>
        <w:spacing w:before="240" w:after="0"/>
        <w:jc w:val="both"/>
        <w:rPr>
          <w:b/>
          <w:b/>
        </w:rPr>
      </w:pPr>
      <w:r>
        <w:rPr>
          <w:b/>
        </w:rPr>
        <w:t>INNE INFORMACJE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W bieżącym kwartale nie wydawano opinii o zabawkach dla Urzędu Celnego   w Kielcach. </w:t>
      </w:r>
      <w:r/>
    </w:p>
    <w:p>
      <w:pPr>
        <w:pStyle w:val="Tretekstu"/>
        <w:spacing w:before="240" w:after="0"/>
        <w:jc w:val="both"/>
        <w:rPr>
          <w:rFonts w:ascii="Times New Roman" w:hAnsi="Times New Roman" w:eastAsia="Times New Roman"/>
        </w:rPr>
      </w:pPr>
      <w:r>
        <w:rPr/>
      </w:r>
      <w:r/>
    </w:p>
    <w:p>
      <w:pPr>
        <w:pStyle w:val="Tretekstu"/>
        <w:spacing w:before="240" w:after="0"/>
        <w:jc w:val="both"/>
        <w:rPr>
          <w:b/>
          <w:b/>
        </w:rPr>
      </w:pPr>
      <w:r>
        <w:rPr>
          <w:b/>
        </w:rPr>
        <w:t>CIEKAWE PRZYPADKI, NOWE RODZAJE ZABAWEK LUB ZAGROŻEŃ</w:t>
      </w:r>
      <w:r/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 w:val="24"/>
          <w:szCs w:val="24"/>
          <w:rFonts w:ascii="Palatino Linotype" w:hAnsi="Palatino Linotype" w:cs="Palatino Linotype"/>
        </w:rPr>
      </w:pPr>
      <w:r>
        <w:rPr/>
        <w:t>1</w:t>
      </w:r>
      <w:r>
        <w:rPr>
          <w:b/>
        </w:rPr>
        <w:t xml:space="preserve">/  </w:t>
      </w:r>
      <w:r>
        <w:rPr>
          <w:b/>
          <w:sz w:val="24"/>
          <w:szCs w:val="24"/>
        </w:rPr>
        <w:t>Zabawka  Lalka „Barbara” item no T2077, nr art. HM 164071, kod 5905698173379</w:t>
      </w:r>
      <w:r>
        <w:rPr>
          <w:sz w:val="24"/>
          <w:szCs w:val="24"/>
        </w:rPr>
        <w:t>, importera  HH Poland S. A., ul. Toszecka 101, 44-100 Gliwice, w której kwestionowano zbyt dużą zawartość ftalanów,  była również kwestionowana w zakresie oznakowania (brak producenta, importera, ryzyka o zagrożeniu, słowa „Ostrzeżenie”). Kwestionowanie oznakowania miało miejsce przed pobraniem próbki do badań na ftalany. W związku z tym, że zabawka ta była  eksponowana do sprzedaży, importer, na wezwanie WIIH,  poprawił oznakowanie. Jednak badanie laboratoryjne wykazało obecność ftalanów, stwarzających zagrożenie dla zdrowia i życia,  co skutkowało wydaniem decyzji zakazującej udostępniania tej zabawki i przekazaniem akt kontroli do UOKiK do postępowania administracyjnego.</w:t>
      </w:r>
      <w:r/>
    </w:p>
    <w:p>
      <w:pPr>
        <w:pStyle w:val="Tretekstu"/>
        <w:spacing w:before="240" w:after="0"/>
        <w:jc w:val="both"/>
        <w:rPr>
          <w:rFonts w:ascii="Times New Roman" w:hAnsi="Times New Roman" w:eastAsia="Times New Roman"/>
        </w:rPr>
      </w:pPr>
      <w:r>
        <w:rPr/>
      </w:r>
      <w:r/>
    </w:p>
    <w:p>
      <w:pPr>
        <w:pStyle w:val="Tretekstu"/>
        <w:spacing w:before="240" w:after="0"/>
        <w:jc w:val="both"/>
        <w:rPr>
          <w:rFonts w:ascii="Times New Roman" w:hAnsi="Times New Roman" w:eastAsia="Times New Roman"/>
        </w:rPr>
      </w:pPr>
      <w:r>
        <w:rPr/>
      </w:r>
      <w:r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4" w:header="709" w:top="1418" w:footer="709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</w:pPr>
      <w:r>
        <w:rPr>
          <w:rStyle w:val="Footnotereference"/>
        </w:rPr>
        <w:footnoteRef/>
        <w:tab/>
      </w:r>
      <w:r>
        <w:rPr/>
        <w:t>Dz. U. poz. 1730</w:t>
      </w:r>
      <w:r/>
    </w:p>
  </w:footnote>
  <w:footnote w:id="3">
    <w:p>
      <w:pPr>
        <w:pStyle w:val="Przypisdolny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Dz. U. z 2017 r. poz. 1398, ze zm.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1" w:color="00000A"/>
      </w:pBdr>
      <w:tabs>
        <w:tab w:val="left" w:pos="2175" w:leader="none"/>
        <w:tab w:val="right" w:pos="9214" w:leader="none"/>
      </w:tabs>
      <w:spacing w:before="120" w:after="0"/>
      <w:jc w:val="right"/>
    </w:pPr>
    <w:r>
      <w:rPr>
        <w:rFonts w:ascii="Palatino Linotype" w:hAnsi="Palatino Linotype"/>
      </w:rPr>
      <w:tab/>
      <w:tab/>
    </w:r>
    <w:r>
      <w:rPr/>
      <w:t>Załącznik nr 2</w:t>
      <w:tab/>
      <w:t>Kielce,   grudzień  2018 r.</w:t>
    </w:r>
    <w:r/>
  </w:p>
  <w:p>
    <w:pPr>
      <w:pStyle w:val="Normal"/>
      <w:pBdr>
        <w:bottom w:val="single" w:sz="6" w:space="1" w:color="00000A"/>
      </w:pBdr>
      <w:tabs>
        <w:tab w:val="left" w:pos="2685" w:leader="none"/>
        <w:tab w:val="left" w:pos="2790" w:leader="none"/>
      </w:tabs>
      <w:spacing w:before="120" w:after="0"/>
    </w:pPr>
    <w:r>
      <w:rPr>
        <w:rFonts w:ascii="Palatino Linotype" w:hAnsi="Palatino Linotype"/>
      </w:rPr>
      <w:tab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-414020</wp:posOffset>
          </wp:positionH>
          <wp:positionV relativeFrom="page">
            <wp:posOffset>209550</wp:posOffset>
          </wp:positionV>
          <wp:extent cx="1295400" cy="685800"/>
          <wp:effectExtent l="0" t="0" r="0" b="0"/>
          <wp:wrapNone/>
          <wp:docPr id="2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b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b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b/>
      </w:rPr>
    </w:lvl>
  </w:abstractNum>
  <w:abstractNum w:abstractNumId="6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uiPriority="0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uiPriority="0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rsid w:val="009428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283bca"/>
    <w:rPr/>
  </w:style>
  <w:style w:type="character" w:styleId="StopkaZnak" w:customStyle="1">
    <w:name w:val="Stopka Znak"/>
    <w:basedOn w:val="DefaultParagraphFont"/>
    <w:link w:val="Stopka"/>
    <w:uiPriority w:val="99"/>
    <w:rsid w:val="00283bca"/>
    <w:rPr/>
  </w:style>
  <w:style w:type="character" w:styleId="TekstpodstawowyZnak" w:customStyle="1">
    <w:name w:val="Tekst podstawowy Znak"/>
    <w:basedOn w:val="DefaultParagraphFont"/>
    <w:link w:val="Tekstpodstawowy"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283bc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283bca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rsid w:val="00fc63b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fc63b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c63b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eb002a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/>
      <w:i/>
      <w:sz w:val="24"/>
      <w:szCs w:val="24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cs="Symbol"/>
      <w:b/>
      <w:sz w:val="22"/>
    </w:rPr>
  </w:style>
  <w:style w:type="character" w:styleId="ListLabel5">
    <w:name w:val="ListLabel 5"/>
    <w:rPr>
      <w:rFonts w:cs="Courier New"/>
      <w:b/>
      <w:sz w:val="24"/>
    </w:rPr>
  </w:style>
  <w:style w:type="character" w:styleId="ListLabel6">
    <w:name w:val="ListLabel 6"/>
    <w:rPr>
      <w:rFonts w:cs="Wingdings"/>
      <w:b/>
      <w:sz w:val="24"/>
    </w:rPr>
  </w:style>
  <w:style w:type="character" w:styleId="Znakiprzypiswdolnych">
    <w:name w:val="Znaki przypisów dolnych"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link w:val="TekstpodstawowyZnak"/>
    <w:rsid w:val="00283bca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 Unicode MS"/>
    </w:rPr>
  </w:style>
  <w:style w:type="paragraph" w:styleId="Gwka">
    <w:name w:val="Główka"/>
    <w:basedOn w:val="Normal"/>
    <w:link w:val="Nagwek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semiHidden/>
    <w:rsid w:val="00283bc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283bc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fc63b1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fc63b1"/>
    <w:pPr/>
    <w:rPr>
      <w:b/>
      <w:bCs/>
    </w:rPr>
  </w:style>
  <w:style w:type="paragraph" w:styleId="NagwekIII" w:customStyle="1">
    <w:name w:val="Nagłówek III"/>
    <w:basedOn w:val="Normal"/>
    <w:rsid w:val="00384e0f"/>
    <w:pPr>
      <w:tabs>
        <w:tab w:val="left" w:pos="567" w:leader="none"/>
      </w:tabs>
      <w:jc w:val="both"/>
    </w:pPr>
    <w:rPr>
      <w:rFonts w:ascii="Bookman Old Style" w:hAnsi="Bookman Old Style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426e5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pPr/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F69EC-23FF-4709-A063-5836FC06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Application>LibreOffice/4.3.5.2$Windows_x86 LibreOffice_project/3a87456aaa6a95c63eea1c1b3201acedf0751bd5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2018-09-28T06:55:00Z</dcterms:created>
  <dc:creator>edomanska</dc:creator>
  <dc:language>pl-PL</dc:language>
  <cp:lastPrinted>2019-01-23T07:46:00Z</cp:lastPrinted>
  <dcterms:modified xsi:type="dcterms:W3CDTF">2019-02-19T14:54:57Z</dcterms:modified>
  <cp:revision>39</cp:revision>
</cp:coreProperties>
</file>