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>
                <wp:simplePos x="0" y="0"/>
                <wp:positionH relativeFrom="column">
                  <wp:posOffset>895985</wp:posOffset>
                </wp:positionH>
                <wp:positionV relativeFrom="paragraph">
                  <wp:posOffset>-455930</wp:posOffset>
                </wp:positionV>
                <wp:extent cx="2876550" cy="328930"/>
                <wp:effectExtent l="10160" t="6985" r="9525" b="12700"/>
                <wp:wrapNone/>
                <wp:docPr id="1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040" cy="3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Zawartoramki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Text Box 2" fillcolor="white" stroked="t" style="position:absolute;margin-left:70.55pt;margin-top:-35.9pt;width:226.4pt;height:25.8pt">
                <w10:wrap type="none"/>
                <v:fill o:detectmouseclick="t" type="solid" color2="black"/>
                <v:stroke color="white" weight="9360" joinstyle="miter" endcap="flat"/>
                <v:textbox>
                  <w:txbxContent>
                    <w:p>
                      <w:pPr>
                        <w:pStyle w:val="Zawartoramki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4"/>
          <w:szCs w:val="24"/>
        </w:rPr>
        <w:t>INFORMACJA</w:t>
      </w:r>
    </w:p>
    <w:p>
      <w:pPr>
        <w:pStyle w:val="Normal"/>
        <w:spacing w:before="0" w:after="12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o wynikach kontroli bezpieczeństwa zabawek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bookmarkStart w:id="0" w:name="_GoBack"/>
      <w:bookmarkEnd w:id="0"/>
      <w:r>
        <w:rPr>
          <w:sz w:val="24"/>
          <w:szCs w:val="24"/>
        </w:rPr>
        <w:t xml:space="preserve"> IV kwartał 2019 rok </w:t>
      </w:r>
    </w:p>
    <w:p>
      <w:pPr>
        <w:pStyle w:val="Normal"/>
        <w:spacing w:before="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Cel kontroli:</w:t>
      </w:r>
      <w:r>
        <w:rPr>
          <w:sz w:val="24"/>
          <w:szCs w:val="24"/>
        </w:rPr>
        <w:t xml:space="preserve"> sprawdzenie i ocena, czy wprowadzone do obrotu zabawki spełniają wymagania określone w przepisach rozporządzenia Ministra Rozwoju i Finansów z dnia 20 października 2016 r. w sprawie wymagań dla zabawek</w:t>
      </w:r>
      <w:r>
        <w:rPr>
          <w:rStyle w:val="Zakotwiczenieprzypisudolnego"/>
          <w:sz w:val="24"/>
          <w:szCs w:val="24"/>
        </w:rPr>
        <w:footnoteReference w:id="2"/>
      </w:r>
      <w:r>
        <w:rPr>
          <w:sz w:val="24"/>
          <w:szCs w:val="24"/>
        </w:rPr>
        <w:t xml:space="preserve"> oraz czy podmioty gospodarcze naruszyły obowiązki wynikające z ustawy z dnia 13 kwietnia 2016 r. o systemach oceny zgodności i nadzoru rynku</w:t>
      </w:r>
      <w:r>
        <w:rPr>
          <w:rStyle w:val="Zakotwiczenieprzypisudolnego"/>
          <w:sz w:val="24"/>
          <w:szCs w:val="24"/>
        </w:rPr>
        <w:footnoteReference w:id="3"/>
      </w:r>
      <w:r>
        <w:rPr>
          <w:sz w:val="24"/>
          <w:szCs w:val="24"/>
        </w:rPr>
        <w:t xml:space="preserve">. </w:t>
      </w:r>
    </w:p>
    <w:p>
      <w:pPr>
        <w:pStyle w:val="Normal"/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Wyniki kontroli</w:t>
      </w:r>
      <w:r>
        <w:rPr>
          <w:sz w:val="24"/>
          <w:szCs w:val="24"/>
        </w:rPr>
        <w:t xml:space="preserve">: </w:t>
      </w:r>
    </w:p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Style w:val="Tabela-Siatka"/>
        <w:tblW w:w="1077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75"/>
        <w:gridCol w:w="2146"/>
        <w:gridCol w:w="1672"/>
        <w:gridCol w:w="1672"/>
        <w:gridCol w:w="1903"/>
        <w:gridCol w:w="1903"/>
        <w:gridCol w:w="899"/>
      </w:tblGrid>
      <w:tr>
        <w:trPr>
          <w:trHeight w:val="1127" w:hRule="atLeast"/>
        </w:trPr>
        <w:tc>
          <w:tcPr>
            <w:tcW w:w="2721" w:type="dxa"/>
            <w:gridSpan w:val="2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Rodzaj podmiotu kontrolowanego</w:t>
            </w:r>
          </w:p>
        </w:tc>
        <w:tc>
          <w:tcPr>
            <w:tcW w:w="1672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Liczba skontrolowanych podmiotów danego rodzaju</w:t>
            </w:r>
          </w:p>
        </w:tc>
        <w:tc>
          <w:tcPr>
            <w:tcW w:w="1672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Liczba skontrolowanych zabawek</w:t>
            </w:r>
          </w:p>
        </w:tc>
        <w:tc>
          <w:tcPr>
            <w:tcW w:w="1903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Liczba zakwestionowanych zabawek</w:t>
            </w:r>
          </w:p>
        </w:tc>
        <w:tc>
          <w:tcPr>
            <w:tcW w:w="1903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Procentowy udział zakwestionowanych zabawek</w:t>
            </w:r>
          </w:p>
        </w:tc>
        <w:tc>
          <w:tcPr>
            <w:tcW w:w="899" w:type="dxa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Uwaga*</w:t>
            </w:r>
          </w:p>
        </w:tc>
      </w:tr>
      <w:tr>
        <w:trPr>
          <w:trHeight w:val="549" w:hRule="atLeast"/>
        </w:trPr>
        <w:tc>
          <w:tcPr>
            <w:tcW w:w="2721" w:type="dxa"/>
            <w:gridSpan w:val="2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Producent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9" w:hRule="atLeast"/>
        </w:trPr>
        <w:tc>
          <w:tcPr>
            <w:tcW w:w="2721" w:type="dxa"/>
            <w:gridSpan w:val="2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Importer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487" w:hRule="atLeast"/>
        </w:trPr>
        <w:tc>
          <w:tcPr>
            <w:tcW w:w="575" w:type="dxa"/>
            <w:vMerge w:val="restart"/>
            <w:tcBorders/>
            <w:shd w:color="auto" w:fill="C6D9F1" w:themeFill="text2" w:themeFillTint="33" w:val="clear"/>
            <w:tcMar>
              <w:left w:w="108" w:type="dxa"/>
            </w:tcMar>
            <w:textDirection w:val="btLr"/>
            <w:vAlign w:val="center"/>
          </w:tcPr>
          <w:p>
            <w:pPr>
              <w:pStyle w:val="Normal"/>
              <w:spacing w:before="120" w:after="0"/>
              <w:ind w:left="113" w:right="113" w:hanging="0"/>
              <w:jc w:val="center"/>
              <w:rPr>
                <w:b/>
                <w:b/>
              </w:rPr>
            </w:pPr>
            <w:r>
              <w:rPr>
                <w:b/>
              </w:rPr>
              <w:t>Dystrybutor</w:t>
            </w:r>
          </w:p>
        </w:tc>
        <w:tc>
          <w:tcPr>
            <w:tcW w:w="2146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Sprzedawca hurtowy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25%</w:t>
            </w:r>
          </w:p>
        </w:tc>
        <w:tc>
          <w:tcPr>
            <w:tcW w:w="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535" w:hRule="atLeast"/>
        </w:trPr>
        <w:tc>
          <w:tcPr>
            <w:tcW w:w="575" w:type="dxa"/>
            <w:vMerge w:val="continue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6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Sklep detaliczny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870" w:hRule="atLeast"/>
        </w:trPr>
        <w:tc>
          <w:tcPr>
            <w:tcW w:w="575" w:type="dxa"/>
            <w:vMerge w:val="continue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146" w:type="dxa"/>
            <w:tcBorders/>
            <w:shd w:color="auto" w:fill="C6D9F1" w:themeFill="text2" w:themeFillTint="33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Sklep wielkopowierzchniowy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721" w:type="dxa"/>
            <w:gridSpan w:val="2"/>
            <w:tcBorders/>
            <w:shd w:color="auto" w:fill="C6D9F1" w:themeFill="text2" w:themeFillTint="33" w:val="clear"/>
            <w:tcMar>
              <w:left w:w="108" w:type="dxa"/>
            </w:tcMar>
            <w:vAlign w:val="center"/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Łącznie :</w:t>
            </w:r>
          </w:p>
          <w:p>
            <w:pPr>
              <w:pStyle w:val="Normal"/>
              <w:spacing w:before="120" w:after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6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9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6,8%</w:t>
            </w:r>
          </w:p>
        </w:tc>
        <w:tc>
          <w:tcPr>
            <w:tcW w:w="89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before="120" w:after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before="120" w:after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spacing w:before="120" w:after="0"/>
        <w:jc w:val="both"/>
        <w:rPr>
          <w:i/>
          <w:i/>
        </w:rPr>
      </w:pPr>
      <w:r>
        <w:rPr>
          <w:b/>
          <w:sz w:val="24"/>
          <w:szCs w:val="24"/>
        </w:rPr>
        <w:t>*</w:t>
      </w:r>
      <w:r>
        <w:rPr>
          <w:i/>
        </w:rPr>
        <w:t>W przypadku dystrybutora, w kolumnie „Uwagi” prosimy wpisać czy to pierwszy dystrybutor na terenie Polski.</w:t>
      </w:r>
    </w:p>
    <w:p>
      <w:pPr>
        <w:pStyle w:val="Normal"/>
        <w:spacing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spacing w:before="120" w:after="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Pochodzenie skontrolowanych zabawek:</w:t>
      </w:r>
    </w:p>
    <w:p>
      <w:pPr>
        <w:pStyle w:val="ListParagraph"/>
        <w:numPr>
          <w:ilvl w:val="0"/>
          <w:numId w:val="2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   Polska</w:t>
      </w:r>
    </w:p>
    <w:p>
      <w:pPr>
        <w:pStyle w:val="ListParagraph"/>
        <w:numPr>
          <w:ilvl w:val="0"/>
          <w:numId w:val="2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0   Inne kraje UE</w:t>
      </w:r>
    </w:p>
    <w:p>
      <w:pPr>
        <w:pStyle w:val="ListParagraph"/>
        <w:numPr>
          <w:ilvl w:val="0"/>
          <w:numId w:val="2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37 Import</w:t>
      </w:r>
    </w:p>
    <w:p>
      <w:pPr>
        <w:pStyle w:val="ListParagraph"/>
        <w:numPr>
          <w:ilvl w:val="0"/>
          <w:numId w:val="2"/>
        </w:numPr>
        <w:spacing w:before="60" w:after="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   Nieustalone </w:t>
      </w:r>
    </w:p>
    <w:p>
      <w:pPr>
        <w:pStyle w:val="Normal"/>
        <w:spacing w:before="240" w:after="12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Stwierdzono następujące niezgodności formalne: 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iCs/>
          <w:color w:val="0070C0"/>
          <w:sz w:val="24"/>
          <w:szCs w:val="24"/>
        </w:rPr>
      </w:pPr>
      <w:r>
        <w:rPr>
          <w:iCs/>
          <w:sz w:val="24"/>
          <w:szCs w:val="24"/>
        </w:rPr>
        <w:t xml:space="preserve">brak CE -  w  przypadku 2 zabawek </w:t>
      </w:r>
      <w:r>
        <w:rPr>
          <w:i/>
          <w:sz w:val="24"/>
          <w:szCs w:val="24"/>
        </w:rPr>
        <w:t>(gluty/slime)</w:t>
      </w:r>
      <w:r>
        <w:rPr>
          <w:i/>
          <w:color w:val="0070C0"/>
          <w:sz w:val="24"/>
          <w:szCs w:val="24"/>
        </w:rPr>
        <w:t>,</w:t>
      </w:r>
      <w:r>
        <w:rPr>
          <w:iCs/>
          <w:color w:val="0070C0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iCs/>
          <w:color w:val="0070C0"/>
          <w:sz w:val="24"/>
          <w:szCs w:val="24"/>
        </w:rPr>
      </w:pPr>
      <w:r>
        <w:rPr>
          <w:iCs/>
          <w:sz w:val="24"/>
          <w:szCs w:val="24"/>
        </w:rPr>
        <w:t xml:space="preserve">brak danych producenta - w przypadku 2 zabawek </w:t>
      </w:r>
      <w:bookmarkStart w:id="1" w:name="_Hlk29557257"/>
      <w:bookmarkEnd w:id="1"/>
      <w:r>
        <w:rPr>
          <w:i/>
          <w:sz w:val="24"/>
          <w:szCs w:val="24"/>
        </w:rPr>
        <w:t>(gluty/slime)</w:t>
      </w:r>
    </w:p>
    <w:p>
      <w:pPr>
        <w:pStyle w:val="Normal"/>
        <w:numPr>
          <w:ilvl w:val="0"/>
          <w:numId w:val="1"/>
        </w:numPr>
        <w:spacing w:before="120" w:after="120"/>
        <w:jc w:val="both"/>
        <w:rPr>
          <w:i/>
          <w:i/>
          <w:color w:val="0070C0"/>
          <w:sz w:val="24"/>
          <w:szCs w:val="24"/>
        </w:rPr>
      </w:pPr>
      <w:r>
        <w:rPr>
          <w:iCs/>
          <w:sz w:val="24"/>
          <w:szCs w:val="24"/>
        </w:rPr>
        <w:t xml:space="preserve">brak danych importera - w przypadku 2 zabawek </w:t>
      </w:r>
      <w:r>
        <w:rPr>
          <w:i/>
          <w:sz w:val="24"/>
          <w:szCs w:val="24"/>
        </w:rPr>
        <w:t>(gluty/slime)</w:t>
      </w:r>
    </w:p>
    <w:p>
      <w:pPr>
        <w:pStyle w:val="Normal"/>
        <w:spacing w:before="120" w:after="120"/>
        <w:ind w:left="360" w:hanging="0"/>
        <w:jc w:val="both"/>
        <w:rPr>
          <w:iCs/>
          <w:color w:val="0070C0"/>
          <w:sz w:val="24"/>
          <w:szCs w:val="24"/>
        </w:rPr>
      </w:pPr>
      <w:r>
        <w:rPr>
          <w:iCs/>
          <w:color w:val="0070C0"/>
          <w:sz w:val="24"/>
          <w:szCs w:val="24"/>
        </w:rPr>
      </w:r>
    </w:p>
    <w:p>
      <w:pPr>
        <w:pStyle w:val="Normal"/>
        <w:spacing w:before="120" w:after="120"/>
        <w:ind w:left="360" w:hanging="0"/>
        <w:jc w:val="both"/>
        <w:rPr>
          <w:i/>
          <w:i/>
          <w:color w:val="0070C0"/>
          <w:sz w:val="24"/>
          <w:szCs w:val="24"/>
        </w:rPr>
      </w:pPr>
      <w:r>
        <w:rPr>
          <w:i/>
          <w:color w:val="0070C0"/>
          <w:sz w:val="24"/>
          <w:szCs w:val="24"/>
        </w:rPr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Badania laboratoryjne</w:t>
      </w:r>
      <w:r>
        <w:rPr>
          <w:sz w:val="24"/>
          <w:szCs w:val="24"/>
        </w:rPr>
        <w:t>:</w:t>
      </w:r>
    </w:p>
    <w:p>
      <w:pPr>
        <w:pStyle w:val="Normal"/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Łącznie przebadano 8 zabawek, z czego zakwestionowano 3 zabawki.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 Specjalistycznym Laboratorium Badania Zabawek w Lublinie </w:t>
      </w:r>
      <w:r>
        <w:rPr>
          <w:sz w:val="24"/>
          <w:szCs w:val="24"/>
        </w:rPr>
        <w:t>przeprowadzono łącznie badania 5 próbek zabawek, stwierdzając niezgodności w zakresie konstrukcji, wykonania i zastosowanych materiałów w 2 próbkach (40% proc. ogółu zbadanych).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b/>
          <w:b/>
          <w:i/>
          <w:i/>
          <w:color w:val="0070C0"/>
          <w:sz w:val="24"/>
          <w:szCs w:val="24"/>
        </w:rPr>
      </w:pPr>
      <w:r>
        <w:rPr>
          <w:b/>
          <w:sz w:val="24"/>
          <w:szCs w:val="24"/>
        </w:rPr>
        <w:t>Najczęściej pojawiające się niezgodności to:</w:t>
      </w:r>
    </w:p>
    <w:p>
      <w:pPr>
        <w:pStyle w:val="ListParagraph"/>
        <w:numPr>
          <w:ilvl w:val="0"/>
          <w:numId w:val="3"/>
        </w:numPr>
        <w:tabs>
          <w:tab w:val="left" w:pos="426" w:leader="none"/>
        </w:tabs>
        <w:spacing w:before="120" w:after="0"/>
        <w:contextualSpacing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przekroczona dopuszczalna wartość migracji boru z wyrobu (dwie zabawki typu slime/gluty).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 Specjalistycznym Laboratorium Produktów Włókienniczych i Analizy Instrumentalnej w Łodzi</w:t>
      </w:r>
      <w:r>
        <w:rPr>
          <w:sz w:val="24"/>
          <w:szCs w:val="24"/>
        </w:rPr>
        <w:t xml:space="preserve"> przeprowadzono łącznie 3 badania laboratoryjne zabawek pod kątem występowania niedozwolonych substancji chemicznych, takich jak: </w:t>
      </w:r>
      <w:r>
        <w:rPr>
          <w:b/>
          <w:sz w:val="24"/>
          <w:szCs w:val="24"/>
        </w:rPr>
        <w:t>ftalany</w:t>
      </w:r>
      <w:r>
        <w:rPr>
          <w:sz w:val="24"/>
          <w:szCs w:val="24"/>
        </w:rPr>
        <w:t xml:space="preserve">, stwierdzając przekroczenie dopuszczalnego stężenia ftalanów w 1 zabawce na  (50% proc zbadanych), </w:t>
      </w:r>
      <w:r>
        <w:rPr>
          <w:b/>
          <w:sz w:val="24"/>
          <w:szCs w:val="24"/>
        </w:rPr>
        <w:t>alergeny</w:t>
      </w:r>
      <w:r>
        <w:rPr>
          <w:sz w:val="24"/>
          <w:szCs w:val="24"/>
        </w:rPr>
        <w:t xml:space="preserve"> - nie stwierdzono w badanej pod tym kątem zabawce.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Obecność ftalanu stwierdzono w zabawce </w:t>
      </w:r>
      <w:r>
        <w:rPr>
          <w:rFonts w:cs="Palatino Linotype" w:ascii="Palatino Linotype" w:hAnsi="Palatino Linotype"/>
          <w:bCs/>
          <w:i/>
          <w:iCs/>
          <w:sz w:val="22"/>
          <w:szCs w:val="22"/>
        </w:rPr>
        <w:t>Piłka, Lot No: 14833</w:t>
      </w:r>
      <w:r>
        <w:rPr>
          <w:rFonts w:cs="Palatino Linotype" w:ascii="Palatino Linotype" w:hAnsi="Palatino Linotype"/>
          <w:bCs/>
          <w:sz w:val="22"/>
          <w:szCs w:val="22"/>
        </w:rPr>
        <w:t xml:space="preserve"> (importer: ADAR).</w:t>
      </w:r>
      <w:r>
        <w:rPr>
          <w:rFonts w:cs="Palatino Linotype" w:ascii="Palatino Linotype" w:hAnsi="Palatino Linotype"/>
          <w:b/>
          <w:sz w:val="22"/>
          <w:szCs w:val="22"/>
        </w:rPr>
        <w:t xml:space="preserve"> </w:t>
      </w:r>
      <w:r>
        <w:rPr>
          <w:sz w:val="24"/>
          <w:szCs w:val="24"/>
        </w:rPr>
        <w:t xml:space="preserve">Zabawka ta zawierała ftalan diizobutylu DIBP w ilości </w:t>
      </w:r>
      <w:r>
        <w:rPr>
          <w:b/>
          <w:bCs/>
          <w:sz w:val="22"/>
          <w:szCs w:val="22"/>
        </w:rPr>
        <w:t>(49,6 ± 5,5)%</w:t>
      </w:r>
      <w:r>
        <w:rPr>
          <w:sz w:val="22"/>
          <w:szCs w:val="22"/>
        </w:rPr>
        <w:t>,</w:t>
      </w:r>
      <w:r>
        <w:rPr>
          <w:sz w:val="24"/>
          <w:szCs w:val="24"/>
        </w:rPr>
        <w:t xml:space="preserve"> przy dopuszczalnym limicie nie więcej niż 0,3%.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W przypadku przekroczenia dopuszczalnego stężenia/wartości danej substancji, należy ją wpisać w załączniku nr 2 do Programu Kontroli Bezpieczeństwa Zabawek. </w:t>
      </w:r>
    </w:p>
    <w:p>
      <w:pPr>
        <w:pStyle w:val="Normal"/>
        <w:tabs>
          <w:tab w:val="left" w:pos="426" w:leader="none"/>
        </w:tabs>
        <w:spacing w:before="120" w:after="0"/>
        <w:jc w:val="both"/>
        <w:rPr/>
      </w:pPr>
      <w:r>
        <w:rPr>
          <w:b/>
          <w:sz w:val="24"/>
          <w:szCs w:val="24"/>
        </w:rPr>
        <w:t>Działania Inspekcji Handlowej:</w:t>
      </w:r>
      <w:r>
        <w:rPr>
          <w:sz w:val="24"/>
          <w:szCs w:val="24"/>
        </w:rPr>
        <w:t xml:space="preserve"> w przypadku niezgodności formalnych (brak oznakowania CE, brak danych producenta i danych importera), inspektorzy IH nie wzywali przedsiębiorcy do podjęcia dobrowolnych działań naprawczych, ponieważ badane zabawki oprócz niezgodności formalnych nie spełniały wymagań określonych w </w:t>
      </w:r>
      <w:r>
        <w:rPr>
          <w:sz w:val="22"/>
          <w:szCs w:val="22"/>
        </w:rPr>
        <w:t>§ 5 ust. 1 rozporządzenia</w:t>
      </w:r>
      <w:r>
        <w:rPr>
          <w:sz w:val="24"/>
          <w:szCs w:val="24"/>
        </w:rPr>
        <w:t xml:space="preserve"> MRiF (przekroczony limit migracji boru z wyrobu). W trakcie kontroli wydano 2 decyzje zakazujące kontrolowanemu przedsiębiorcy udostępniania 3 kwestionowanych zabawek na okres 3 miesięcy.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Działania UOKiK:</w:t>
      </w:r>
      <w:r>
        <w:rPr>
          <w:sz w:val="24"/>
          <w:szCs w:val="24"/>
        </w:rPr>
        <w:t xml:space="preserve"> inspektorzy IH skierują do Prezesa UOKiK 1 akta kontroli z wnioskiem           o wszczęcie postępowania administracyjnego, które obejmować będą łącznie 3 zabawki wprowadzone do obrotu przez dwóch przedsiębiorców.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>Wnioski:</w:t>
      </w:r>
      <w:r>
        <w:rPr>
          <w:sz w:val="24"/>
          <w:szCs w:val="24"/>
        </w:rPr>
        <w:t xml:space="preserve">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rFonts w:ascii="Palatino Linotype" w:hAnsi="Palatino Linotype" w:cs="Palatino Linotype"/>
          <w:sz w:val="24"/>
          <w:szCs w:val="24"/>
        </w:rPr>
      </w:pPr>
      <w:r>
        <w:rPr>
          <w:sz w:val="24"/>
          <w:szCs w:val="24"/>
        </w:rPr>
        <w:tab/>
        <w:t>Porównując wyniki kontroli bieżących do wyników kontroli za  II kwartał 2019 r., należy stwierdzić spadek odsetka stwierdzonych nieprawidłowości o 10,2%. Podczas poprzedniego kwartału zakwestionowano łącznie 17% objętych sprawdzeniem zabawek, a obecny wynik              to 6,8%.</w:t>
      </w:r>
    </w:p>
    <w:p>
      <w:pPr>
        <w:pStyle w:val="Normal"/>
        <w:tabs>
          <w:tab w:val="left" w:pos="426" w:leader="none"/>
        </w:tabs>
        <w:spacing w:before="120" w:after="0"/>
        <w:jc w:val="both"/>
        <w:rPr/>
      </w:pPr>
      <w:r>
        <w:rPr>
          <w:sz w:val="24"/>
          <w:szCs w:val="24"/>
        </w:rPr>
        <w:tab/>
        <w:t xml:space="preserve">Ujawnione niezgodności dotyczyły oznakowania i właściwości chemicznych - obecność ftalanów i przekroczona wartość migracji pierwiastka bor. W bieżącym kwartale </w:t>
        <w:br/>
        <w:t xml:space="preserve">nie kwestionowano zabawek w zakresie ich wykonania i konstrukcji. 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Wyniki kontroli przemawiają za prowadzeniem dalszego systematycznego nadzoru                w obszarze tej grupy towarów.</w:t>
      </w:r>
    </w:p>
    <w:p>
      <w:pPr>
        <w:pStyle w:val="Normal"/>
        <w:tabs>
          <w:tab w:val="left" w:pos="426" w:leader="none"/>
        </w:tabs>
        <w:spacing w:before="12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240" w:after="0"/>
        <w:jc w:val="both"/>
        <w:rPr>
          <w:u w:val="dotted"/>
        </w:rPr>
      </w:pPr>
      <w:r>
        <w:rPr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274" w:header="709" w:top="1418" w:footer="709" w:bottom="993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  <w:font w:name="Palatino Linotype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right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>Dz. U. poz. 1730</w:t>
      </w:r>
    </w:p>
  </w:footnote>
  <w:footnote w:id="3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Dz. U. z 2017 r. poz. 1398, ze zm.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6" w:space="1" w:color="00000A"/>
      </w:pBdr>
      <w:tabs>
        <w:tab w:val="left" w:pos="2175" w:leader="none"/>
        <w:tab w:val="right" w:pos="9214" w:leader="none"/>
      </w:tabs>
      <w:spacing w:before="120" w:after="0"/>
      <w:jc w:val="right"/>
      <w:rPr/>
    </w:pPr>
    <w:r>
      <w:rPr>
        <w:rFonts w:ascii="Palatino Linotype" w:hAnsi="Palatino Linotype"/>
      </w:rPr>
      <w:tab/>
      <w:tab/>
    </w:r>
    <w:r>
      <w:rPr>
        <w:i/>
        <w:sz w:val="18"/>
        <w:szCs w:val="18"/>
      </w:rPr>
      <w:tab/>
    </w:r>
  </w:p>
  <w:p>
    <w:pPr>
      <w:pStyle w:val="Normal"/>
      <w:pBdr>
        <w:bottom w:val="single" w:sz="6" w:space="1" w:color="00000A"/>
      </w:pBdr>
      <w:tabs>
        <w:tab w:val="left" w:pos="2175" w:leader="none"/>
        <w:tab w:val="right" w:pos="9214" w:leader="none"/>
      </w:tabs>
      <w:spacing w:before="120" w:after="0"/>
      <w:rPr/>
    </w:pPr>
    <w:r>
      <w:rPr/>
      <w:tab/>
      <w:tab/>
      <w:t>Kielce, 23 stycznia 2020 r.</w:t>
    </w:r>
  </w:p>
  <w:p>
    <w:pPr>
      <w:pStyle w:val="Normal"/>
      <w:pBdr>
        <w:bottom w:val="single" w:sz="6" w:space="1" w:color="00000A"/>
      </w:pBdr>
      <w:tabs>
        <w:tab w:val="left" w:pos="2685" w:leader="none"/>
        <w:tab w:val="left" w:pos="2790" w:leader="none"/>
      </w:tabs>
      <w:spacing w:before="120" w:after="0"/>
      <w:rPr/>
    </w:pPr>
    <w:r>
      <w:rPr>
        <w:rFonts w:ascii="Palatino Linotype" w:hAnsi="Palatino Linotype"/>
      </w:rPr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83bca"/>
    <w:pPr>
      <w:widowControl/>
      <w:bidi w:val="0"/>
      <w:jc w:val="left"/>
    </w:pPr>
    <w:rPr>
      <w:rFonts w:ascii="Times New Roman" w:hAnsi="Times New Roman" w:eastAsia="Times New Roman" w:cs="Times New Roman"/>
      <w:color w:val="auto"/>
      <w:sz w:val="20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83bca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83bca"/>
    <w:rPr/>
  </w:style>
  <w:style w:type="character" w:styleId="TekstpodstawowyZnak" w:customStyle="1">
    <w:name w:val="Tekst podstawowy Znak"/>
    <w:basedOn w:val="DefaultParagraphFont"/>
    <w:link w:val="Tekstpodstawowy"/>
    <w:qFormat/>
    <w:rsid w:val="00283bc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283bca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Footnotereference">
    <w:name w:val="footnote reference"/>
    <w:semiHidden/>
    <w:qFormat/>
    <w:rsid w:val="00283bca"/>
    <w:rPr>
      <w:vertAlign w:val="superscript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83bca"/>
    <w:rPr>
      <w:rFonts w:ascii="Tahoma" w:hAnsi="Tahoma" w:eastAsia="Times New Roman" w:cs="Tahoma"/>
      <w:sz w:val="16"/>
      <w:szCs w:val="16"/>
      <w:lang w:eastAsia="pl-P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fc63b1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fc63b1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fc63b1"/>
    <w:rPr>
      <w:rFonts w:ascii="Times New Roman" w:hAnsi="Times New Roman" w:eastAsia="Times New Roman" w:cs="Times New Roman"/>
      <w:b/>
      <w:bCs/>
      <w:sz w:val="20"/>
      <w:szCs w:val="20"/>
      <w:lang w:eastAsia="pl-PL"/>
    </w:rPr>
  </w:style>
  <w:style w:type="character" w:styleId="Czeinternetowe">
    <w:name w:val="Łącze internetowe"/>
    <w:basedOn w:val="DefaultParagraphFont"/>
    <w:uiPriority w:val="99"/>
    <w:unhideWhenUsed/>
    <w:rsid w:val="00eb002a"/>
    <w:rPr>
      <w:color w:val="0000FF"/>
      <w:u w:val="single"/>
    </w:rPr>
  </w:style>
  <w:style w:type="character" w:styleId="ListLabel1">
    <w:name w:val="ListLabel 1"/>
    <w:qFormat/>
    <w:rPr>
      <w:color w:val="00000A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b/>
      <w:i/>
      <w:sz w:val="24"/>
      <w:szCs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eastAsia="Times New Roman" w:cs="Times New Roman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Times New Roman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b/>
      <w:color w:val="00000A"/>
      <w:sz w:val="24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Znakiprzypiswdolnych">
    <w:name w:val="Znaki przypisów dolnych"/>
    <w:qFormat/>
    <w:rPr/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283bca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">
    <w:name w:val="Header"/>
    <w:basedOn w:val="Normal"/>
    <w:link w:val="NagwekZnak"/>
    <w:uiPriority w:val="99"/>
    <w:unhideWhenUsed/>
    <w:rsid w:val="00283bca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283bca"/>
    <w:pPr>
      <w:tabs>
        <w:tab w:val="center" w:pos="4536" w:leader="none"/>
        <w:tab w:val="right" w:pos="9072" w:leader="none"/>
      </w:tabs>
    </w:pPr>
    <w:rPr/>
  </w:style>
  <w:style w:type="paragraph" w:styleId="Footnotetext">
    <w:name w:val="footnote text"/>
    <w:basedOn w:val="Normal"/>
    <w:link w:val="TekstprzypisudolnegoZnak"/>
    <w:semiHidden/>
    <w:qFormat/>
    <w:rsid w:val="00283bca"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83bca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fc63b1"/>
    <w:pPr/>
    <w:rPr/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fc63b1"/>
    <w:pPr/>
    <w:rPr>
      <w:b/>
      <w:bCs/>
    </w:rPr>
  </w:style>
  <w:style w:type="paragraph" w:styleId="NagwekIII" w:customStyle="1">
    <w:name w:val="Nagłówek III"/>
    <w:basedOn w:val="Normal"/>
    <w:qFormat/>
    <w:rsid w:val="00384e0f"/>
    <w:pPr>
      <w:tabs>
        <w:tab w:val="left" w:pos="567" w:leader="none"/>
      </w:tabs>
      <w:jc w:val="both"/>
    </w:pPr>
    <w:rPr>
      <w:rFonts w:ascii="Bookman Old Style" w:hAnsi="Bookman Old Style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5426e5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paragraph" w:styleId="Przypisdolny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3a20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39ACB-0445-4AF7-9127-28E769934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Application>LibreOffice/5.3.2.2$Windows_x86 LibreOffice_project/6cd4f1ef626f15116896b1d8e1398b56da0d0ee1</Application>
  <Pages>2</Pages>
  <Words>530</Words>
  <Characters>3353</Characters>
  <CharactersWithSpaces>3986</CharactersWithSpaces>
  <Paragraphs>72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2020-01-10T11:20:00Z</dcterms:created>
  <dc:creator>edomanska</dc:creator>
  <dc:description/>
  <dc:language>pl-PL</dc:language>
  <cp:lastModifiedBy/>
  <cp:lastPrinted>2020-01-23T09:43:00Z</cp:lastPrinted>
  <dcterms:modified xsi:type="dcterms:W3CDTF">2020-02-17T08:31:20Z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